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DCB83" w14:textId="7E544B04" w:rsidR="00484ECD" w:rsidRPr="00F04478" w:rsidRDefault="00484ECD" w:rsidP="00484ECD">
      <w:pPr>
        <w:jc w:val="both"/>
        <w:rPr>
          <w:rFonts w:ascii="Verdana" w:hAnsi="Verdana" w:cs="Times New Roman"/>
          <w:b/>
          <w:bCs/>
          <w:sz w:val="16"/>
          <w:szCs w:val="16"/>
        </w:rPr>
      </w:pPr>
      <w:r w:rsidRPr="00F04478">
        <w:rPr>
          <w:rFonts w:ascii="Verdana" w:hAnsi="Verdana" w:cs="Times New Roman"/>
          <w:b/>
          <w:bCs/>
          <w:sz w:val="16"/>
          <w:szCs w:val="16"/>
        </w:rPr>
        <w:t>WYMA</w:t>
      </w:r>
      <w:r w:rsidR="005F0AA8" w:rsidRPr="00F04478">
        <w:rPr>
          <w:rFonts w:ascii="Verdana" w:hAnsi="Verdana" w:cs="Times New Roman"/>
          <w:b/>
          <w:bCs/>
          <w:sz w:val="16"/>
          <w:szCs w:val="16"/>
        </w:rPr>
        <w:t>GA</w:t>
      </w:r>
      <w:r w:rsidRPr="00F04478">
        <w:rPr>
          <w:rFonts w:ascii="Verdana" w:hAnsi="Verdana" w:cs="Times New Roman"/>
          <w:b/>
          <w:bCs/>
          <w:sz w:val="16"/>
          <w:szCs w:val="16"/>
        </w:rPr>
        <w:t>NIA FUNKCJONALNE – OPROGRAMO</w:t>
      </w:r>
      <w:r w:rsidR="00B76D10" w:rsidRPr="00F04478">
        <w:rPr>
          <w:rFonts w:ascii="Verdana" w:hAnsi="Verdana" w:cs="Times New Roman"/>
          <w:b/>
          <w:bCs/>
          <w:sz w:val="16"/>
          <w:szCs w:val="16"/>
        </w:rPr>
        <w:t>W</w:t>
      </w:r>
      <w:r w:rsidRPr="00F04478">
        <w:rPr>
          <w:rFonts w:ascii="Verdana" w:hAnsi="Verdana" w:cs="Times New Roman"/>
          <w:b/>
          <w:bCs/>
          <w:sz w:val="16"/>
          <w:szCs w:val="16"/>
        </w:rPr>
        <w:t>ANIE DO PATOMORFOLOGII:</w:t>
      </w:r>
    </w:p>
    <w:sdt>
      <w:sdtPr>
        <w:rPr>
          <w:rFonts w:ascii="Verdana" w:eastAsiaTheme="minorHAnsi" w:hAnsi="Verdana" w:cs="Times New Roman"/>
          <w:color w:val="auto"/>
          <w:kern w:val="2"/>
          <w:sz w:val="16"/>
          <w:szCs w:val="16"/>
          <w:lang w:eastAsia="en-US"/>
          <w14:ligatures w14:val="standardContextual"/>
        </w:rPr>
        <w:id w:val="-1788350956"/>
        <w:docPartObj>
          <w:docPartGallery w:val="Table of Contents"/>
          <w:docPartUnique/>
        </w:docPartObj>
      </w:sdtPr>
      <w:sdtEndPr>
        <w:rPr>
          <w:b/>
          <w:bCs/>
        </w:rPr>
      </w:sdtEndPr>
      <w:sdtContent>
        <w:p w14:paraId="1A09B6AF" w14:textId="2BB7F162" w:rsidR="00344018" w:rsidRPr="00F04478" w:rsidRDefault="00344018" w:rsidP="00F04478">
          <w:pPr>
            <w:pStyle w:val="Nagwekspisutreci"/>
            <w:spacing w:line="360" w:lineRule="auto"/>
            <w:jc w:val="both"/>
            <w:rPr>
              <w:rFonts w:ascii="Verdana" w:hAnsi="Verdana" w:cs="Times New Roman"/>
              <w:color w:val="auto"/>
              <w:sz w:val="16"/>
              <w:szCs w:val="16"/>
            </w:rPr>
          </w:pPr>
          <w:r w:rsidRPr="00F04478">
            <w:rPr>
              <w:rFonts w:ascii="Verdana" w:hAnsi="Verdana" w:cs="Times New Roman"/>
              <w:color w:val="auto"/>
              <w:sz w:val="16"/>
              <w:szCs w:val="16"/>
            </w:rPr>
            <w:t>Spis treści</w:t>
          </w:r>
        </w:p>
        <w:p w14:paraId="0D6F6C54" w14:textId="77777777" w:rsidR="0006659A" w:rsidRPr="00F04478" w:rsidRDefault="0006659A" w:rsidP="00F04478">
          <w:pPr>
            <w:spacing w:line="360" w:lineRule="auto"/>
            <w:rPr>
              <w:rFonts w:ascii="Verdana" w:hAnsi="Verdana" w:cs="Times New Roman"/>
              <w:sz w:val="16"/>
              <w:szCs w:val="16"/>
              <w:lang w:eastAsia="pl-PL"/>
            </w:rPr>
          </w:pPr>
        </w:p>
        <w:p w14:paraId="26C30098" w14:textId="34F82224" w:rsidR="00434133" w:rsidRPr="00F04478" w:rsidRDefault="00344018" w:rsidP="00F04478">
          <w:pPr>
            <w:pStyle w:val="Spistreci1"/>
            <w:spacing w:line="360" w:lineRule="auto"/>
            <w:rPr>
              <w:rFonts w:ascii="Verdana" w:eastAsiaTheme="minorEastAsia" w:hAnsi="Verdana"/>
              <w:noProof/>
              <w:sz w:val="16"/>
              <w:szCs w:val="16"/>
              <w:lang w:eastAsia="pl-PL"/>
            </w:rPr>
          </w:pPr>
          <w:r w:rsidRPr="00F04478">
            <w:rPr>
              <w:rFonts w:ascii="Verdana" w:hAnsi="Verdana" w:cs="Times New Roman"/>
              <w:sz w:val="16"/>
              <w:szCs w:val="16"/>
            </w:rPr>
            <w:fldChar w:fldCharType="begin"/>
          </w:r>
          <w:r w:rsidRPr="00F04478">
            <w:rPr>
              <w:rFonts w:ascii="Verdana" w:hAnsi="Verdana" w:cs="Times New Roman"/>
              <w:sz w:val="16"/>
              <w:szCs w:val="16"/>
            </w:rPr>
            <w:instrText xml:space="preserve"> TOC \o "1-3" \h \z \u </w:instrText>
          </w:r>
          <w:r w:rsidRPr="00F04478">
            <w:rPr>
              <w:rFonts w:ascii="Verdana" w:hAnsi="Verdana" w:cs="Times New Roman"/>
              <w:sz w:val="16"/>
              <w:szCs w:val="16"/>
            </w:rPr>
            <w:fldChar w:fldCharType="separate"/>
          </w:r>
          <w:hyperlink w:anchor="_Toc194396356" w:history="1">
            <w:r w:rsidR="00434133" w:rsidRPr="00F04478">
              <w:rPr>
                <w:rStyle w:val="Hipercze"/>
                <w:rFonts w:ascii="Verdana" w:hAnsi="Verdana" w:cs="Times New Roman"/>
                <w:bCs/>
                <w:noProof/>
                <w:color w:val="auto"/>
                <w:sz w:val="16"/>
                <w:szCs w:val="16"/>
              </w:rPr>
              <w:t>1.</w:t>
            </w:r>
            <w:r w:rsidR="00434133" w:rsidRPr="00F04478">
              <w:rPr>
                <w:rFonts w:ascii="Verdana" w:eastAsiaTheme="minorEastAsia" w:hAnsi="Verdana"/>
                <w:noProof/>
                <w:sz w:val="16"/>
                <w:szCs w:val="16"/>
                <w:lang w:eastAsia="pl-PL"/>
              </w:rPr>
              <w:tab/>
            </w:r>
            <w:r w:rsidR="00434133" w:rsidRPr="00F04478">
              <w:rPr>
                <w:rStyle w:val="Hipercze"/>
                <w:rFonts w:ascii="Verdana" w:hAnsi="Verdana" w:cs="Times New Roman"/>
                <w:noProof/>
                <w:color w:val="auto"/>
                <w:sz w:val="16"/>
                <w:szCs w:val="16"/>
              </w:rPr>
              <w:t>Moduł obsługi Patomorfologii – wymagania ogólne</w:t>
            </w:r>
            <w:r w:rsidR="00434133" w:rsidRPr="00F04478">
              <w:rPr>
                <w:rFonts w:ascii="Verdana" w:hAnsi="Verdana"/>
                <w:noProof/>
                <w:webHidden/>
                <w:sz w:val="16"/>
                <w:szCs w:val="16"/>
              </w:rPr>
              <w:tab/>
            </w:r>
            <w:r w:rsidR="00434133" w:rsidRPr="00F04478">
              <w:rPr>
                <w:rFonts w:ascii="Verdana" w:hAnsi="Verdana"/>
                <w:noProof/>
                <w:webHidden/>
                <w:sz w:val="16"/>
                <w:szCs w:val="16"/>
              </w:rPr>
              <w:fldChar w:fldCharType="begin"/>
            </w:r>
            <w:r w:rsidR="00434133" w:rsidRPr="00F04478">
              <w:rPr>
                <w:rFonts w:ascii="Verdana" w:hAnsi="Verdana"/>
                <w:noProof/>
                <w:webHidden/>
                <w:sz w:val="16"/>
                <w:szCs w:val="16"/>
              </w:rPr>
              <w:instrText xml:space="preserve"> PAGEREF _Toc194396356 \h </w:instrText>
            </w:r>
            <w:r w:rsidR="00434133" w:rsidRPr="00F04478">
              <w:rPr>
                <w:rFonts w:ascii="Verdana" w:hAnsi="Verdana"/>
                <w:noProof/>
                <w:webHidden/>
                <w:sz w:val="16"/>
                <w:szCs w:val="16"/>
              </w:rPr>
            </w:r>
            <w:r w:rsidR="00434133" w:rsidRPr="00F04478">
              <w:rPr>
                <w:rFonts w:ascii="Verdana" w:hAnsi="Verdana"/>
                <w:noProof/>
                <w:webHidden/>
                <w:sz w:val="16"/>
                <w:szCs w:val="16"/>
              </w:rPr>
              <w:fldChar w:fldCharType="separate"/>
            </w:r>
            <w:r w:rsidR="00434133" w:rsidRPr="00F04478">
              <w:rPr>
                <w:rFonts w:ascii="Verdana" w:hAnsi="Verdana"/>
                <w:noProof/>
                <w:webHidden/>
                <w:sz w:val="16"/>
                <w:szCs w:val="16"/>
              </w:rPr>
              <w:t>2</w:t>
            </w:r>
            <w:r w:rsidR="00434133" w:rsidRPr="00F04478">
              <w:rPr>
                <w:rFonts w:ascii="Verdana" w:hAnsi="Verdana"/>
                <w:noProof/>
                <w:webHidden/>
                <w:sz w:val="16"/>
                <w:szCs w:val="16"/>
              </w:rPr>
              <w:fldChar w:fldCharType="end"/>
            </w:r>
          </w:hyperlink>
        </w:p>
        <w:p w14:paraId="21FA8ACE" w14:textId="69CBBCFA"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57" w:history="1">
            <w:r w:rsidRPr="00F04478">
              <w:rPr>
                <w:rStyle w:val="Hipercze"/>
                <w:rFonts w:ascii="Verdana" w:hAnsi="Verdana" w:cs="Times New Roman"/>
                <w:bCs/>
                <w:noProof/>
                <w:color w:val="auto"/>
                <w:sz w:val="16"/>
                <w:szCs w:val="16"/>
              </w:rPr>
              <w:t>2.</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Wyszukiwanie</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_Toc194396357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3</w:t>
            </w:r>
            <w:r w:rsidRPr="00F04478">
              <w:rPr>
                <w:rFonts w:ascii="Verdana" w:hAnsi="Verdana"/>
                <w:noProof/>
                <w:webHidden/>
                <w:sz w:val="16"/>
                <w:szCs w:val="16"/>
              </w:rPr>
              <w:fldChar w:fldCharType="end"/>
            </w:r>
          </w:hyperlink>
        </w:p>
        <w:p w14:paraId="23ABD488" w14:textId="5343207E"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58" w:history="1">
            <w:r w:rsidRPr="00F04478">
              <w:rPr>
                <w:rStyle w:val="Hipercze"/>
                <w:rFonts w:ascii="Verdana" w:hAnsi="Verdana" w:cs="Times New Roman"/>
                <w:bCs/>
                <w:noProof/>
                <w:color w:val="auto"/>
                <w:sz w:val="16"/>
                <w:szCs w:val="16"/>
              </w:rPr>
              <w:t>3.</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Obsługa badań</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_Toc194396358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4</w:t>
            </w:r>
            <w:r w:rsidRPr="00F04478">
              <w:rPr>
                <w:rFonts w:ascii="Verdana" w:hAnsi="Verdana"/>
                <w:noProof/>
                <w:webHidden/>
                <w:sz w:val="16"/>
                <w:szCs w:val="16"/>
              </w:rPr>
              <w:fldChar w:fldCharType="end"/>
            </w:r>
          </w:hyperlink>
        </w:p>
        <w:p w14:paraId="12053B21" w14:textId="566884B5"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59" w:history="1">
            <w:r w:rsidRPr="00F04478">
              <w:rPr>
                <w:rStyle w:val="Hipercze"/>
                <w:rFonts w:ascii="Verdana" w:hAnsi="Verdana" w:cs="Times New Roman"/>
                <w:bCs/>
                <w:noProof/>
                <w:color w:val="auto"/>
                <w:sz w:val="16"/>
                <w:szCs w:val="16"/>
              </w:rPr>
              <w:t>4.</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Kontrola jakości, terminowość badań i zdarzenia niepożądane</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_Toc194396359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5</w:t>
            </w:r>
            <w:r w:rsidRPr="00F04478">
              <w:rPr>
                <w:rFonts w:ascii="Verdana" w:hAnsi="Verdana"/>
                <w:noProof/>
                <w:webHidden/>
                <w:sz w:val="16"/>
                <w:szCs w:val="16"/>
              </w:rPr>
              <w:fldChar w:fldCharType="end"/>
            </w:r>
          </w:hyperlink>
        </w:p>
        <w:p w14:paraId="6DBA0CAB" w14:textId="1E3840E3"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60" w:history="1">
            <w:r w:rsidRPr="00F04478">
              <w:rPr>
                <w:rStyle w:val="Hipercze"/>
                <w:rFonts w:ascii="Verdana" w:hAnsi="Verdana" w:cs="Times New Roman"/>
                <w:bCs/>
                <w:noProof/>
                <w:color w:val="auto"/>
                <w:sz w:val="16"/>
                <w:szCs w:val="16"/>
              </w:rPr>
              <w:t>5.</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Obsługa stanowisk z dedykowanymi ekranami stanowiskowymi do współpracy z czytnikami kodów</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_Toc194396360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8</w:t>
            </w:r>
            <w:r w:rsidRPr="00F04478">
              <w:rPr>
                <w:rFonts w:ascii="Verdana" w:hAnsi="Verdana"/>
                <w:noProof/>
                <w:webHidden/>
                <w:sz w:val="16"/>
                <w:szCs w:val="16"/>
              </w:rPr>
              <w:fldChar w:fldCharType="end"/>
            </w:r>
          </w:hyperlink>
        </w:p>
        <w:p w14:paraId="1584F85B" w14:textId="622C23C1"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61" w:history="1">
            <w:r w:rsidRPr="00F04478">
              <w:rPr>
                <w:rStyle w:val="Hipercze"/>
                <w:rFonts w:ascii="Verdana" w:hAnsi="Verdana" w:cs="Times New Roman"/>
                <w:bCs/>
                <w:noProof/>
                <w:color w:val="auto"/>
                <w:sz w:val="16"/>
                <w:szCs w:val="16"/>
              </w:rPr>
              <w:t>6.</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Śledzenie przypadku</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_Toc194396361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15</w:t>
            </w:r>
            <w:r w:rsidRPr="00F04478">
              <w:rPr>
                <w:rFonts w:ascii="Verdana" w:hAnsi="Verdana"/>
                <w:noProof/>
                <w:webHidden/>
                <w:sz w:val="16"/>
                <w:szCs w:val="16"/>
              </w:rPr>
              <w:fldChar w:fldCharType="end"/>
            </w:r>
          </w:hyperlink>
        </w:p>
        <w:p w14:paraId="293874D4" w14:textId="4A6F0D95"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62" w:history="1">
            <w:r w:rsidRPr="00F04478">
              <w:rPr>
                <w:rStyle w:val="Hipercze"/>
                <w:rFonts w:ascii="Verdana" w:hAnsi="Verdana" w:cs="Times New Roman"/>
                <w:bCs/>
                <w:noProof/>
                <w:color w:val="auto"/>
                <w:sz w:val="16"/>
                <w:szCs w:val="16"/>
              </w:rPr>
              <w:t>7.</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Zlecenia wewnętrzne (między jednostkami organizacyjnymi)</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_Toc194396362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15</w:t>
            </w:r>
            <w:r w:rsidRPr="00F04478">
              <w:rPr>
                <w:rFonts w:ascii="Verdana" w:hAnsi="Verdana"/>
                <w:noProof/>
                <w:webHidden/>
                <w:sz w:val="16"/>
                <w:szCs w:val="16"/>
              </w:rPr>
              <w:fldChar w:fldCharType="end"/>
            </w:r>
          </w:hyperlink>
        </w:p>
        <w:p w14:paraId="75E6C493" w14:textId="3698C810"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63" w:history="1">
            <w:r w:rsidRPr="00F04478">
              <w:rPr>
                <w:rStyle w:val="Hipercze"/>
                <w:rFonts w:ascii="Verdana" w:hAnsi="Verdana" w:cs="Times New Roman"/>
                <w:bCs/>
                <w:noProof/>
                <w:color w:val="auto"/>
                <w:sz w:val="16"/>
                <w:szCs w:val="16"/>
              </w:rPr>
              <w:t>8.</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Raporty i statystyki</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_Toc194396363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16</w:t>
            </w:r>
            <w:r w:rsidRPr="00F04478">
              <w:rPr>
                <w:rFonts w:ascii="Verdana" w:hAnsi="Verdana"/>
                <w:noProof/>
                <w:webHidden/>
                <w:sz w:val="16"/>
                <w:szCs w:val="16"/>
              </w:rPr>
              <w:fldChar w:fldCharType="end"/>
            </w:r>
          </w:hyperlink>
        </w:p>
        <w:p w14:paraId="31103A42" w14:textId="3F3F914A"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64" w:history="1">
            <w:r w:rsidRPr="00F04478">
              <w:rPr>
                <w:rStyle w:val="Hipercze"/>
                <w:rFonts w:ascii="Verdana" w:hAnsi="Verdana" w:cs="Times New Roman"/>
                <w:bCs/>
                <w:noProof/>
                <w:color w:val="auto"/>
                <w:sz w:val="16"/>
                <w:szCs w:val="16"/>
              </w:rPr>
              <w:t>9.</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Finanse</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_Toc194396364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22</w:t>
            </w:r>
            <w:r w:rsidRPr="00F04478">
              <w:rPr>
                <w:rFonts w:ascii="Verdana" w:hAnsi="Verdana"/>
                <w:noProof/>
                <w:webHidden/>
                <w:sz w:val="16"/>
                <w:szCs w:val="16"/>
              </w:rPr>
              <w:fldChar w:fldCharType="end"/>
            </w:r>
          </w:hyperlink>
        </w:p>
        <w:p w14:paraId="5697BD62" w14:textId="1D31D791"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65" w:history="1">
            <w:r w:rsidRPr="00F04478">
              <w:rPr>
                <w:rStyle w:val="Hipercze"/>
                <w:rFonts w:ascii="Verdana" w:hAnsi="Verdana" w:cs="Times New Roman"/>
                <w:bCs/>
                <w:noProof/>
                <w:color w:val="auto"/>
                <w:sz w:val="16"/>
                <w:szCs w:val="16"/>
              </w:rPr>
              <w:t>10.</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Prezentacja wyników badań dla podmiotów zewnętrznych (zlecających)</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_Toc194396365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23</w:t>
            </w:r>
            <w:r w:rsidRPr="00F04478">
              <w:rPr>
                <w:rFonts w:ascii="Verdana" w:hAnsi="Verdana"/>
                <w:noProof/>
                <w:webHidden/>
                <w:sz w:val="16"/>
                <w:szCs w:val="16"/>
              </w:rPr>
              <w:fldChar w:fldCharType="end"/>
            </w:r>
          </w:hyperlink>
        </w:p>
        <w:p w14:paraId="1649366A" w14:textId="0AE70FA4" w:rsidR="00434133" w:rsidRPr="00F04478" w:rsidRDefault="00434133" w:rsidP="00F04478">
          <w:pPr>
            <w:pStyle w:val="Spistreci1"/>
            <w:spacing w:line="360" w:lineRule="auto"/>
            <w:rPr>
              <w:rFonts w:ascii="Verdana" w:eastAsiaTheme="minorEastAsia" w:hAnsi="Verdana"/>
              <w:noProof/>
              <w:sz w:val="16"/>
              <w:szCs w:val="16"/>
              <w:lang w:eastAsia="pl-PL"/>
            </w:rPr>
          </w:pPr>
          <w:hyperlink w:anchor="_Toc194396366" w:history="1">
            <w:r w:rsidRPr="00F04478">
              <w:rPr>
                <w:rStyle w:val="Hipercze"/>
                <w:rFonts w:ascii="Verdana" w:hAnsi="Verdana" w:cs="Times New Roman"/>
                <w:bCs/>
                <w:noProof/>
                <w:color w:val="auto"/>
                <w:sz w:val="16"/>
                <w:szCs w:val="16"/>
              </w:rPr>
              <w:t>11.</w:t>
            </w:r>
            <w:r w:rsidRPr="00F04478">
              <w:rPr>
                <w:rFonts w:ascii="Verdana" w:eastAsiaTheme="minorEastAsia" w:hAnsi="Verdana"/>
                <w:noProof/>
                <w:sz w:val="16"/>
                <w:szCs w:val="16"/>
                <w:lang w:eastAsia="pl-PL"/>
              </w:rPr>
              <w:tab/>
            </w:r>
            <w:r w:rsidRPr="00F04478">
              <w:rPr>
                <w:rStyle w:val="Hipercze"/>
                <w:rFonts w:ascii="Verdana" w:hAnsi="Verdana" w:cs="Times New Roman"/>
                <w:noProof/>
                <w:color w:val="auto"/>
                <w:sz w:val="16"/>
                <w:szCs w:val="16"/>
              </w:rPr>
              <w:t>Współpraca z urządzeniami/sprzętem laboratoryjnym</w:t>
            </w:r>
            <w:r w:rsidRPr="00F04478">
              <w:rPr>
                <w:rFonts w:ascii="Verdana" w:hAnsi="Verdana"/>
                <w:noProof/>
                <w:webHidden/>
                <w:sz w:val="16"/>
                <w:szCs w:val="16"/>
              </w:rPr>
              <w:tab/>
            </w:r>
            <w:r w:rsidRPr="00F04478">
              <w:rPr>
                <w:rFonts w:ascii="Verdana" w:hAnsi="Verdana"/>
                <w:noProof/>
                <w:webHidden/>
                <w:sz w:val="16"/>
                <w:szCs w:val="16"/>
              </w:rPr>
              <w:fldChar w:fldCharType="begin"/>
            </w:r>
            <w:r w:rsidRPr="00F04478">
              <w:rPr>
                <w:rFonts w:ascii="Verdana" w:hAnsi="Verdana"/>
                <w:noProof/>
                <w:webHidden/>
                <w:sz w:val="16"/>
                <w:szCs w:val="16"/>
              </w:rPr>
              <w:instrText xml:space="preserve"> PAGEREF _Toc194396366 \h </w:instrText>
            </w:r>
            <w:r w:rsidRPr="00F04478">
              <w:rPr>
                <w:rFonts w:ascii="Verdana" w:hAnsi="Verdana"/>
                <w:noProof/>
                <w:webHidden/>
                <w:sz w:val="16"/>
                <w:szCs w:val="16"/>
              </w:rPr>
            </w:r>
            <w:r w:rsidRPr="00F04478">
              <w:rPr>
                <w:rFonts w:ascii="Verdana" w:hAnsi="Verdana"/>
                <w:noProof/>
                <w:webHidden/>
                <w:sz w:val="16"/>
                <w:szCs w:val="16"/>
              </w:rPr>
              <w:fldChar w:fldCharType="separate"/>
            </w:r>
            <w:r w:rsidRPr="00F04478">
              <w:rPr>
                <w:rFonts w:ascii="Verdana" w:hAnsi="Verdana"/>
                <w:noProof/>
                <w:webHidden/>
                <w:sz w:val="16"/>
                <w:szCs w:val="16"/>
              </w:rPr>
              <w:t>23</w:t>
            </w:r>
            <w:r w:rsidRPr="00F04478">
              <w:rPr>
                <w:rFonts w:ascii="Verdana" w:hAnsi="Verdana"/>
                <w:noProof/>
                <w:webHidden/>
                <w:sz w:val="16"/>
                <w:szCs w:val="16"/>
              </w:rPr>
              <w:fldChar w:fldCharType="end"/>
            </w:r>
          </w:hyperlink>
        </w:p>
        <w:p w14:paraId="01B227FA" w14:textId="11B943DF" w:rsidR="00344018" w:rsidRPr="00F04478" w:rsidRDefault="00344018" w:rsidP="00F04478">
          <w:pPr>
            <w:spacing w:line="360" w:lineRule="auto"/>
            <w:jc w:val="both"/>
            <w:rPr>
              <w:rFonts w:ascii="Verdana" w:hAnsi="Verdana" w:cs="Times New Roman"/>
              <w:sz w:val="16"/>
              <w:szCs w:val="16"/>
            </w:rPr>
          </w:pPr>
          <w:r w:rsidRPr="00F04478">
            <w:rPr>
              <w:rFonts w:ascii="Verdana" w:hAnsi="Verdana" w:cs="Times New Roman"/>
              <w:b/>
              <w:bCs/>
              <w:sz w:val="16"/>
              <w:szCs w:val="16"/>
            </w:rPr>
            <w:fldChar w:fldCharType="end"/>
          </w:r>
        </w:p>
      </w:sdtContent>
    </w:sdt>
    <w:p w14:paraId="1D07E201" w14:textId="5DBB899F" w:rsidR="00344018" w:rsidRPr="00F04478" w:rsidRDefault="00344018" w:rsidP="00F04478">
      <w:pPr>
        <w:spacing w:line="360" w:lineRule="auto"/>
        <w:jc w:val="both"/>
        <w:rPr>
          <w:rFonts w:ascii="Verdana" w:hAnsi="Verdana" w:cs="Times New Roman"/>
          <w:b/>
          <w:bCs/>
          <w:sz w:val="16"/>
          <w:szCs w:val="16"/>
        </w:rPr>
      </w:pPr>
      <w:r w:rsidRPr="00F04478">
        <w:rPr>
          <w:rFonts w:ascii="Verdana" w:hAnsi="Verdana" w:cs="Times New Roman"/>
          <w:b/>
          <w:bCs/>
          <w:sz w:val="16"/>
          <w:szCs w:val="16"/>
        </w:rPr>
        <w:br w:type="page"/>
      </w:r>
    </w:p>
    <w:p w14:paraId="52CC4FE4" w14:textId="349A639F" w:rsidR="009E4757" w:rsidRPr="00F04478" w:rsidRDefault="003E20E5" w:rsidP="00F04478">
      <w:pPr>
        <w:pStyle w:val="Nagwek1"/>
        <w:numPr>
          <w:ilvl w:val="0"/>
          <w:numId w:val="13"/>
        </w:numPr>
        <w:spacing w:line="360" w:lineRule="auto"/>
        <w:rPr>
          <w:rFonts w:ascii="Verdana" w:hAnsi="Verdana" w:cs="Times New Roman"/>
          <w:color w:val="auto"/>
          <w:sz w:val="16"/>
          <w:szCs w:val="16"/>
        </w:rPr>
      </w:pPr>
      <w:bookmarkStart w:id="0" w:name="_Ref171597719"/>
      <w:bookmarkStart w:id="1" w:name="_Toc194396356"/>
      <w:r w:rsidRPr="00F04478">
        <w:rPr>
          <w:rFonts w:ascii="Verdana" w:hAnsi="Verdana" w:cs="Times New Roman"/>
          <w:color w:val="auto"/>
          <w:sz w:val="16"/>
          <w:szCs w:val="16"/>
        </w:rPr>
        <w:lastRenderedPageBreak/>
        <w:t>Moduł obsługi Patomorfologii – wymagania ogólne</w:t>
      </w:r>
      <w:bookmarkEnd w:id="0"/>
      <w:bookmarkEnd w:id="1"/>
    </w:p>
    <w:p w14:paraId="2073EE51" w14:textId="77777777" w:rsidR="0006659A" w:rsidRPr="00F04478" w:rsidRDefault="0006659A" w:rsidP="00F04478">
      <w:pPr>
        <w:spacing w:line="360" w:lineRule="auto"/>
        <w:rPr>
          <w:rFonts w:ascii="Verdana" w:hAnsi="Verdana" w:cs="Times New Roman"/>
          <w:sz w:val="16"/>
          <w:szCs w:val="16"/>
        </w:rPr>
      </w:pPr>
    </w:p>
    <w:p w14:paraId="44975A17" w14:textId="15857C90" w:rsidR="00523F34" w:rsidRPr="00F04478" w:rsidRDefault="003E20E5"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Moduł do śledzenia pełnego</w:t>
      </w:r>
      <w:r w:rsidR="00AE446A" w:rsidRPr="00F04478">
        <w:rPr>
          <w:rFonts w:ascii="Verdana" w:hAnsi="Verdana" w:cs="Times New Roman"/>
          <w:sz w:val="16"/>
          <w:szCs w:val="16"/>
        </w:rPr>
        <w:t xml:space="preserve"> obiegu</w:t>
      </w:r>
      <w:r w:rsidRPr="00F04478">
        <w:rPr>
          <w:rFonts w:ascii="Verdana" w:hAnsi="Verdana" w:cs="Times New Roman"/>
          <w:sz w:val="16"/>
          <w:szCs w:val="16"/>
        </w:rPr>
        <w:t xml:space="preserve"> próbki oraz obsługi następujących typów badań: histopatologia, badania śródoperacyjne (</w:t>
      </w:r>
      <w:proofErr w:type="spellStart"/>
      <w:r w:rsidRPr="00F04478">
        <w:rPr>
          <w:rFonts w:ascii="Verdana" w:hAnsi="Verdana" w:cs="Times New Roman"/>
          <w:sz w:val="16"/>
          <w:szCs w:val="16"/>
        </w:rPr>
        <w:t>introwe</w:t>
      </w:r>
      <w:proofErr w:type="spellEnd"/>
      <w:r w:rsidRPr="00F04478">
        <w:rPr>
          <w:rFonts w:ascii="Verdana" w:hAnsi="Verdana" w:cs="Times New Roman"/>
          <w:sz w:val="16"/>
          <w:szCs w:val="16"/>
        </w:rPr>
        <w:t>), immunohistochemia, histochemia, cytologia ginekologiczna, cytologia aspiracyjna cienkoigłowa, autopsje, konsultacje, badania naukowe.</w:t>
      </w:r>
    </w:p>
    <w:p w14:paraId="1FD8C943" w14:textId="77777777" w:rsidR="00F96F2F" w:rsidRPr="00F04478" w:rsidRDefault="009E4757"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System zgodny z przepisami obowiązującego prawa w Polsce w dniu wdrożenia, w szczególności:</w:t>
      </w:r>
    </w:p>
    <w:p w14:paraId="0C540F9E" w14:textId="282500AA" w:rsidR="00F96F2F" w:rsidRPr="00F04478" w:rsidRDefault="00622E3C"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Rozporządzenie Ministra Zdrowia z dnia 18 grudnia 2017 r. (wraz z późniejszymi zmianami) w sprawie standardów organizacyjnych opieki zdrowotnej w dziedzinie patomorfologii;</w:t>
      </w:r>
    </w:p>
    <w:p w14:paraId="3E90DA4B" w14:textId="7C04E20E" w:rsidR="00F96F2F" w:rsidRPr="00F04478" w:rsidRDefault="00622E3C"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„Standardy organizacyjne oraz standardy postępowania w patomorfologii - Wytyczne dla zakładów/pracowni patomorfologii” (Ministerstwo Zdrowia, Polskie Towarzystwo Patologów, 2020);</w:t>
      </w:r>
    </w:p>
    <w:p w14:paraId="430F94C0" w14:textId="46750A25" w:rsidR="00F96F2F" w:rsidRPr="00F04478" w:rsidRDefault="00622E3C"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Obwieszczenie Ministra Zdrowia z dnia 24 września 2021 r. w sprawie standardów akredytacyjnych w zakresie udzielania świadczeń zdrowotnych oraz funkcjonowania jednostek diagnostyki patomorfologicznej;</w:t>
      </w:r>
    </w:p>
    <w:p w14:paraId="1BB7F6EE" w14:textId="04C51E5C" w:rsidR="00F96F2F" w:rsidRPr="00F04478" w:rsidRDefault="00622E3C"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 xml:space="preserve">Ustawa o Krajowej Sieci Onkologicznej z dnia 9 marca 2023 r. – w szczególności </w:t>
      </w:r>
      <w:r w:rsidR="00CD0621" w:rsidRPr="00F04478">
        <w:rPr>
          <w:rFonts w:ascii="Verdana" w:hAnsi="Verdana" w:cs="Times New Roman"/>
          <w:sz w:val="16"/>
          <w:szCs w:val="16"/>
        </w:rPr>
        <w:t>w zakresie zamieszczania wyników badań histopatologicznych zgodnie z art. 52 ww. ustawy.</w:t>
      </w:r>
    </w:p>
    <w:p w14:paraId="7186B26F" w14:textId="2FBDB43B" w:rsidR="00F96F2F" w:rsidRPr="00F04478" w:rsidRDefault="00622E3C"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W zakresie zgodności z przepisami prawa wymaga się także, aby oferowany system zapewniał:</w:t>
      </w:r>
    </w:p>
    <w:p w14:paraId="160FC5D0" w14:textId="79FE355B" w:rsidR="00F96F2F" w:rsidRPr="00F04478" w:rsidRDefault="00622E3C"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elektronizację procesów opisanych w ww. dokumentach prawnych i wytycznych;</w:t>
      </w:r>
    </w:p>
    <w:p w14:paraId="58134173" w14:textId="1BA728F4" w:rsidR="00F96F2F" w:rsidRPr="00F04478" w:rsidRDefault="00622E3C"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wyliczanie wymaganych mierników, raportów i rejestrów;</w:t>
      </w:r>
    </w:p>
    <w:p w14:paraId="69EC3EFC" w14:textId="52073AD5" w:rsidR="00622E3C" w:rsidRPr="00F04478" w:rsidRDefault="00622E3C"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przechowywanie w bazie danych informacji w zakresie opisanym ww. dokumentami.</w:t>
      </w:r>
    </w:p>
    <w:p w14:paraId="6E0D8096" w14:textId="2F85E87D" w:rsidR="009E4757" w:rsidRPr="00F04478" w:rsidRDefault="009E4757"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Rejestracja, edycja, zatwierdzanie przypadków. Minimalny zakres danych rejestrowanego przypadku zgodny z rozporządzeniem Ministra Zdrowia z dnia 18 grudnia 2017 r. (wraz z późniejszymi zmianami) w sprawie standardów organizacyjnych opieki zdrowotnej w dziedzinie patomorfologii, rozporządzeniem Ministra Zdrowia z dnia 6 kwietnia 2020 r. (wraz z późniejszymi zmianami) w sprawie rodzajów, zakresu i wzorów dokumentacji medycznej oraz sposobu jej przetwarzania oraz „Standardami organizacyjnymi oraz standardami postępowania w patomorfologii - Wytyczne dla zakładów/pracowni patomorfologii” (Ministerstwo Zdrowia, Polskie Towarzystwo Patologów, 2020).</w:t>
      </w:r>
    </w:p>
    <w:p w14:paraId="170AEA37" w14:textId="320E7C80" w:rsidR="009E4757" w:rsidRPr="00F04478" w:rsidRDefault="009E4757"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System powinien umożliwiać konfigurację pracy w formie wyłącznie cyfrowej – elektroniczne skierowania, zlecenia i skany preparatów, telepraca diagnozujących z całkowitym wyeliminowaniem dokumentacji papierowej w Zakładzie.</w:t>
      </w:r>
    </w:p>
    <w:p w14:paraId="48D6AC8E" w14:textId="39B737CD" w:rsidR="009E4757" w:rsidRPr="00F04478" w:rsidRDefault="009E4757"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Interfejs użytkownika adekwatnie do zakresu posiadanych uprawnień musi zawierać element (np. pasek statusu), w którym będą wyświetlane informacje o nieobsłużonych zleceniach: wypożyczeń obiektów z archiwum, barwień dodatkowych, przebarwień preparatów, dokrawania materiału (II rzutu), skanowania preparatów.</w:t>
      </w:r>
    </w:p>
    <w:p w14:paraId="6AD6EE92" w14:textId="77777777" w:rsidR="00417F0E" w:rsidRPr="00F04478" w:rsidRDefault="00417F0E"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Generowanie plików PDF oraz PIK HL7-CDA z wynikami badań przy zatwierdzaniu wyniku. Wymagana implementacja szablonów PIK HL7-CDA dla: Opisu badania diagnostycznego, Sprawozdania z badania laboratoryjnego, Rozpoznania patomorfologicznego (w wariantach: histologia, cytologia). Merytoryczny wybór szablonu następuje zgodnie z rodzajem wykonanego badania w systemie. Niedopuszczalna jest implementacja polegająca na rejestracji w EDM wyników zawierających wyłącznie prezentacyjną formę wyniku (np. zagnieżdżony plik PDF).</w:t>
      </w:r>
    </w:p>
    <w:p w14:paraId="528B4FD3" w14:textId="46CDD42C" w:rsidR="00417F0E" w:rsidRPr="00F04478" w:rsidRDefault="00417F0E"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Podpisywanie plików PDF oraz PIK HL7-CDA z wynikami badań podpisem elektronicznym (osadzonym w plik</w:t>
      </w:r>
      <w:r w:rsidR="00093001" w:rsidRPr="00F04478">
        <w:rPr>
          <w:rFonts w:ascii="Verdana" w:hAnsi="Verdana" w:cs="Times New Roman"/>
          <w:sz w:val="16"/>
          <w:szCs w:val="16"/>
        </w:rPr>
        <w:t>u</w:t>
      </w:r>
      <w:r w:rsidRPr="00F04478">
        <w:rPr>
          <w:rFonts w:ascii="Verdana" w:hAnsi="Verdana" w:cs="Times New Roman"/>
          <w:sz w:val="16"/>
          <w:szCs w:val="16"/>
        </w:rPr>
        <w:t>). Obsługa znakowania dokumentów znacznikiem czasu. Dostarczenie opcjonalnej usługi znakowania zgodnej ze standardem RFC3161 czasem leży w gestii Zamawiającego. Podpis cyfrowy pod obiema formami wyniku (PDF i HL7-CDA) musi być składany z jednokrotnym podaniem kodu PIN (hasła) do certyfikatu. Możliwość podpisania podpisem elektronicznym wyników wstępnych i ostatecznych.</w:t>
      </w:r>
    </w:p>
    <w:p w14:paraId="45822400" w14:textId="74DFC0B6" w:rsidR="00417F0E" w:rsidRPr="00F04478" w:rsidRDefault="00417F0E"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Możliwość wykorzystania podpisów kwalifikowanych (przechowywanych na fizycznym nośniku lub chmurowych), niekwalifikowanych oraz certyfikat</w:t>
      </w:r>
      <w:r w:rsidR="00117DC6" w:rsidRPr="00F04478">
        <w:rPr>
          <w:rFonts w:ascii="Verdana" w:hAnsi="Verdana" w:cs="Times New Roman"/>
          <w:sz w:val="16"/>
          <w:szCs w:val="16"/>
        </w:rPr>
        <w:t>ów</w:t>
      </w:r>
      <w:r w:rsidRPr="00F04478">
        <w:rPr>
          <w:rFonts w:ascii="Verdana" w:hAnsi="Verdana" w:cs="Times New Roman"/>
          <w:sz w:val="16"/>
          <w:szCs w:val="16"/>
        </w:rPr>
        <w:t xml:space="preserve"> ZUS. Możliwość importu certyfikatu niekwalifikowanego </w:t>
      </w:r>
      <w:r w:rsidRPr="00F04478">
        <w:rPr>
          <w:rFonts w:ascii="Verdana" w:hAnsi="Verdana" w:cs="Times New Roman"/>
          <w:sz w:val="16"/>
          <w:szCs w:val="16"/>
        </w:rPr>
        <w:lastRenderedPageBreak/>
        <w:t>do systemu w celu wykorzystania go na dowolnym ze stanowisk, na które zaloguje się użytkownik, bez konieczności ponownego importu certyfikatu.</w:t>
      </w:r>
    </w:p>
    <w:p w14:paraId="2CABDF61" w14:textId="77777777" w:rsidR="00417F0E" w:rsidRPr="00F04478" w:rsidRDefault="00417F0E" w:rsidP="00F04478">
      <w:pPr>
        <w:pStyle w:val="Akapitzlist"/>
        <w:numPr>
          <w:ilvl w:val="1"/>
          <w:numId w:val="13"/>
        </w:numPr>
        <w:spacing w:line="360" w:lineRule="auto"/>
        <w:ind w:left="426"/>
        <w:jc w:val="both"/>
        <w:rPr>
          <w:rFonts w:ascii="Verdana" w:hAnsi="Verdana" w:cs="Times New Roman"/>
          <w:sz w:val="16"/>
          <w:szCs w:val="16"/>
        </w:rPr>
      </w:pPr>
      <w:r w:rsidRPr="00F04478">
        <w:rPr>
          <w:rFonts w:ascii="Verdana" w:hAnsi="Verdana" w:cs="Times New Roman"/>
          <w:sz w:val="16"/>
          <w:szCs w:val="16"/>
        </w:rPr>
        <w:t>Podpisywanie hurtowe podpisem cyfrowym z jednorazowym podaniem kodu PIN (hasła).</w:t>
      </w:r>
    </w:p>
    <w:p w14:paraId="0C95CFE9" w14:textId="77777777" w:rsidR="00417F0E" w:rsidRPr="00F04478" w:rsidRDefault="00417F0E" w:rsidP="00F04478">
      <w:pPr>
        <w:pStyle w:val="Akapitzlist"/>
        <w:spacing w:line="360" w:lineRule="auto"/>
        <w:ind w:left="426"/>
        <w:jc w:val="both"/>
        <w:rPr>
          <w:rFonts w:ascii="Verdana" w:hAnsi="Verdana" w:cs="Times New Roman"/>
          <w:sz w:val="16"/>
          <w:szCs w:val="16"/>
        </w:rPr>
      </w:pPr>
    </w:p>
    <w:p w14:paraId="6EA6AE5B" w14:textId="083FC1AD"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2" w:name="_Ref171596667"/>
      <w:bookmarkStart w:id="3" w:name="_Toc194396357"/>
      <w:r w:rsidRPr="00F04478">
        <w:rPr>
          <w:rFonts w:ascii="Verdana" w:hAnsi="Verdana" w:cs="Times New Roman"/>
          <w:color w:val="auto"/>
          <w:sz w:val="16"/>
          <w:szCs w:val="16"/>
        </w:rPr>
        <w:t>Wyszukiwanie</w:t>
      </w:r>
      <w:bookmarkEnd w:id="2"/>
      <w:bookmarkEnd w:id="3"/>
    </w:p>
    <w:p w14:paraId="1047210F" w14:textId="77777777" w:rsidR="0006659A" w:rsidRPr="00F04478" w:rsidRDefault="0006659A" w:rsidP="00F04478">
      <w:pPr>
        <w:spacing w:line="360" w:lineRule="auto"/>
        <w:rPr>
          <w:rFonts w:ascii="Verdana" w:hAnsi="Verdana" w:cs="Times New Roman"/>
          <w:sz w:val="16"/>
          <w:szCs w:val="16"/>
        </w:rPr>
      </w:pPr>
    </w:p>
    <w:p w14:paraId="0B7BD30C" w14:textId="5158797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bookmarkStart w:id="4" w:name="_Ref171595966"/>
      <w:r w:rsidRPr="00F04478">
        <w:rPr>
          <w:rFonts w:ascii="Verdana" w:hAnsi="Verdana" w:cs="Times New Roman"/>
          <w:sz w:val="16"/>
          <w:szCs w:val="16"/>
        </w:rPr>
        <w:t>Możliwość wyszukiwania przypadków wg kryteriów:</w:t>
      </w:r>
      <w:bookmarkEnd w:id="4"/>
    </w:p>
    <w:p w14:paraId="285C1BBF" w14:textId="519CACD5"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bookmarkStart w:id="5" w:name="_Hlk171672881"/>
      <w:r w:rsidRPr="00F04478">
        <w:rPr>
          <w:rFonts w:ascii="Verdana" w:hAnsi="Verdana" w:cs="Times New Roman"/>
          <w:sz w:val="16"/>
          <w:szCs w:val="16"/>
        </w:rPr>
        <w:t>kod kreskowy dowolnego z obiektów w systemie,</w:t>
      </w:r>
    </w:p>
    <w:p w14:paraId="70A1448D" w14:textId="348C6085"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numer księgi pracowni, ID systemowy (unikatowy) przypadku,</w:t>
      </w:r>
    </w:p>
    <w:p w14:paraId="75CFD113" w14:textId="3C5BC8D7"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nazwisko i imię pacjenta (włącznie z fragmentami),</w:t>
      </w:r>
    </w:p>
    <w:p w14:paraId="4094CFD8" w14:textId="356F6A1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płeć,</w:t>
      </w:r>
    </w:p>
    <w:bookmarkEnd w:id="5"/>
    <w:p w14:paraId="27F67ABF" w14:textId="6869DBC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PESEL,</w:t>
      </w:r>
    </w:p>
    <w:p w14:paraId="35CFACBB" w14:textId="37E6B00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wiek,</w:t>
      </w:r>
    </w:p>
    <w:p w14:paraId="7B225660" w14:textId="17000E39"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identyfikator zewnętrzny pacjenta (np. PID z systemu szpitalnego HIS),</w:t>
      </w:r>
    </w:p>
    <w:p w14:paraId="6F5895E9" w14:textId="6F000762"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daty: pobrania materiału (zabiegu), rejestracji przypadku, przekazania przypadku osobie odpowiedzialnej, zatwierdzenia przypadku, oczekiwana data wyniku, podpisu elektronicznego wyniku, data wydruku wyniku,</w:t>
      </w:r>
    </w:p>
    <w:p w14:paraId="347C015C" w14:textId="010FC79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nr SIMP,</w:t>
      </w:r>
    </w:p>
    <w:p w14:paraId="144CE7B0" w14:textId="00E619E8"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lekarz kierujący,</w:t>
      </w:r>
    </w:p>
    <w:p w14:paraId="6561066E" w14:textId="167C7F7F"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rozpoznanie kliniczne (włącznie z fragmentami),</w:t>
      </w:r>
    </w:p>
    <w:p w14:paraId="56408C57" w14:textId="4133F70A"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zlecający, oddział (jedn. org.) zlecającego,</w:t>
      </w:r>
    </w:p>
    <w:p w14:paraId="0554D268" w14:textId="0199200D"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numer i typ badania,</w:t>
      </w:r>
    </w:p>
    <w:p w14:paraId="2218895E" w14:textId="6A6F539C"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numer i typ materiału, podtyp materiału,</w:t>
      </w:r>
    </w:p>
    <w:p w14:paraId="225AADB9" w14:textId="4BE76D0D"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typ zleconej usługi,</w:t>
      </w:r>
    </w:p>
    <w:p w14:paraId="0BC74C21" w14:textId="084F67D0"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numer i typ preparatu, typ grupy preparatów,</w:t>
      </w:r>
    </w:p>
    <w:p w14:paraId="17741192" w14:textId="1BDFDF04" w:rsidR="008E7F60" w:rsidRPr="00F04478" w:rsidRDefault="008E7F60"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marker histologiczny powiązany z typem preparatu</w:t>
      </w:r>
    </w:p>
    <w:p w14:paraId="77C0511F" w14:textId="7A8FB739"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diagnozujący, diagnozujący 2, konsultujący, lek. wykrawający, osoba odpowiedzialna za wynik, osoba rejestrująca,</w:t>
      </w:r>
    </w:p>
    <w:p w14:paraId="27F508E0" w14:textId="76751232"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rozpoznanie (włącznie z fragmentami),</w:t>
      </w:r>
    </w:p>
    <w:p w14:paraId="7E624187" w14:textId="5D109295"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miejsce pobrania (włącznie z fragmentami),</w:t>
      </w:r>
    </w:p>
    <w:p w14:paraId="1A78D52D" w14:textId="4EDE65E8"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topografia ze zdefiniowanego słownika,</w:t>
      </w:r>
    </w:p>
    <w:p w14:paraId="2896E003" w14:textId="3D54C17D"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lokalizacja preparatu, lokalizacja skierowania</w:t>
      </w:r>
    </w:p>
    <w:p w14:paraId="3F1CA390" w14:textId="5EF2DDDC"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statusy: zatwierdzenia przypadku, wydrukowania przypadku, kontrasygnaty 2. diagnozującego, kontrasygnaty konsultanta, wydania wyniku zlecającemu, wygenerowania wyniku w pliku PDF (Tak/Nie), podpisu elektronicznego wyniku (Tak/Nie), status logistyczny przypadku, wynik do weryfikacji (Tak/Nie), materiał posiada załącznik (Tak/Nie), preparat posiada skan (Tak/Nie), zdiagnozowano nowotwór złośliwy (Tak/Nie),</w:t>
      </w:r>
    </w:p>
    <w:p w14:paraId="48BBA84C" w14:textId="6801B645"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rozpoznanie cytologiczne wg Bethesda (w tym kombinacja wielu warunków i/lub/nie posiada),</w:t>
      </w:r>
    </w:p>
    <w:p w14:paraId="62345568" w14:textId="0F6EF50F"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rodzaj rozpoznania sformalizowanego (np. wybrany raport synoptyczny), wartości pól rozpoznań sformalizowanych,</w:t>
      </w:r>
    </w:p>
    <w:p w14:paraId="0CBD62E8" w14:textId="21D38078"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zdefiniowane przez użytkownika znaczniki przypisywane do przypadku (w tym ich kombinacje za pomocą spójników logicznych I/LUB),</w:t>
      </w:r>
    </w:p>
    <w:p w14:paraId="588815E0" w14:textId="6DE9A60B"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tryb przyjęcia (pilność),</w:t>
      </w:r>
    </w:p>
    <w:p w14:paraId="77BC2A08" w14:textId="2A794699"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projekt, w ramach którego realizowany jest przypadek,</w:t>
      </w:r>
    </w:p>
    <w:p w14:paraId="08A5782F" w14:textId="050AC6F4"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ścieżka kliniczna,</w:t>
      </w:r>
    </w:p>
    <w:p w14:paraId="4F005F8A" w14:textId="730F2FFD"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wewnętrzna jednostka organizacyjna rejestrująca (przyjmująca) przypadek.</w:t>
      </w:r>
    </w:p>
    <w:p w14:paraId="73083ADD" w14:textId="77777777" w:rsidR="000C1B21"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lastRenderedPageBreak/>
        <w:t>Możliwość zdefiniowania przez użytkownika kolumn wyświetlanej listy wyników przypadków spełniających kryteria wyszukiwania.</w:t>
      </w:r>
    </w:p>
    <w:p w14:paraId="22333D76" w14:textId="43D8E64F"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Minimalny zakres kolumn do wyboru: Liczba porządkowa, identyfikator pacjenta, numer przypadku, imię i nazwisko pacjenta, PESEL, zlecający/oddział, data rejestracji, data zatwierdzenia, kod kreskowy badania umożliwiający wejście w przypadek poprzez zeskanowanie kodu z wydrukowanej listy.</w:t>
      </w:r>
    </w:p>
    <w:p w14:paraId="22C9ACB0" w14:textId="3078167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hurtowego wydruku wyników przypadków spełniających kryteria wyszukiwania wraz z określoną liczbą kopii zdefiniowaną w kontekście zlecanego badanie oraz alternatywnie ustaloną arbitralnie przez użytkownika</w:t>
      </w:r>
      <w:r w:rsidR="003901DA" w:rsidRPr="00F04478">
        <w:rPr>
          <w:rFonts w:ascii="Verdana" w:hAnsi="Verdana" w:cs="Times New Roman"/>
          <w:sz w:val="16"/>
          <w:szCs w:val="16"/>
        </w:rPr>
        <w:t>.</w:t>
      </w:r>
    </w:p>
    <w:p w14:paraId="2DF2A718" w14:textId="1482983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wydruku tabelarycznej listy przypadków spełniających kryteria wyszukiwania.</w:t>
      </w:r>
    </w:p>
    <w:p w14:paraId="5100FE50" w14:textId="613355C4"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wydruku statystyk ilościowych przypadków spełniających kryteria wyszukiwania, zawierających sumaryczne ilości wykonanych badań, preparatów, etapów procesu.</w:t>
      </w:r>
    </w:p>
    <w:p w14:paraId="2E291E8D" w14:textId="675797B9"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Zapisywanie kryteriów wyszukiwania i definiowanie ich jako „ulubionych” dla definiującego je użytkownika. </w:t>
      </w:r>
    </w:p>
    <w:p w14:paraId="0E13152C" w14:textId="1A9946CC" w:rsidR="00C730C4" w:rsidRPr="00F04478" w:rsidRDefault="00C730C4" w:rsidP="00F04478">
      <w:pPr>
        <w:pStyle w:val="Akapitzlist"/>
        <w:numPr>
          <w:ilvl w:val="1"/>
          <w:numId w:val="13"/>
        </w:numPr>
        <w:spacing w:line="360" w:lineRule="auto"/>
        <w:ind w:left="567"/>
        <w:rPr>
          <w:rFonts w:ascii="Verdana" w:hAnsi="Verdana" w:cs="Times New Roman"/>
          <w:sz w:val="16"/>
          <w:szCs w:val="16"/>
        </w:rPr>
      </w:pPr>
      <w:r w:rsidRPr="00F04478">
        <w:rPr>
          <w:rFonts w:ascii="Verdana" w:hAnsi="Verdana" w:cs="Times New Roman"/>
          <w:sz w:val="16"/>
          <w:szCs w:val="16"/>
        </w:rPr>
        <w:t>Możliwość przypinania poszczególnym użytkownikom zapisanych kryteriów wyszukiwania („ulubionych”) przez osobę upoważnioną do zarządzania użytkownikami.</w:t>
      </w:r>
    </w:p>
    <w:p w14:paraId="7A85D8BE" w14:textId="5B1E755D"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Generowanie wykresów trendu dla „ulubionych” statystyk dla definiującego je użytkownika, automatycznie raz na dobę.</w:t>
      </w:r>
    </w:p>
    <w:p w14:paraId="7BD8E2D6" w14:textId="7286658E"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definiowania własnych atrybutów (znaczników) dla przypadków i późniejsze wyszukiwanie po tych atrybutach (także ich kombinacji).</w:t>
      </w:r>
    </w:p>
    <w:p w14:paraId="4A8328A6" w14:textId="366305D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eksportu danych z odfiltrowanych badań w wyszukiwarce do pliku Excel XML (lub CSV) oraz PDF w celu dalszej analizy lub obróbki statystycznej.</w:t>
      </w:r>
    </w:p>
    <w:p w14:paraId="24BB3A5A" w14:textId="3524D3B8"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6" w:name="_Toc194396358"/>
      <w:r w:rsidRPr="00F04478">
        <w:rPr>
          <w:rFonts w:ascii="Verdana" w:hAnsi="Verdana" w:cs="Times New Roman"/>
          <w:color w:val="auto"/>
          <w:sz w:val="16"/>
          <w:szCs w:val="16"/>
        </w:rPr>
        <w:t>Obsługa badań</w:t>
      </w:r>
      <w:bookmarkEnd w:id="6"/>
    </w:p>
    <w:p w14:paraId="254D7CED" w14:textId="77777777" w:rsidR="0006659A" w:rsidRPr="00F04478" w:rsidRDefault="0006659A" w:rsidP="00F04478">
      <w:pPr>
        <w:spacing w:line="360" w:lineRule="auto"/>
        <w:rPr>
          <w:rFonts w:ascii="Verdana" w:hAnsi="Verdana" w:cs="Times New Roman"/>
          <w:sz w:val="16"/>
          <w:szCs w:val="16"/>
        </w:rPr>
      </w:pPr>
    </w:p>
    <w:p w14:paraId="3DBA6490" w14:textId="40B8D0D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Dodawanie, edycja, usuwanie materiału diagnostycznego.</w:t>
      </w:r>
    </w:p>
    <w:p w14:paraId="32B0C84C" w14:textId="1FBF40E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Dodawanie, edycja, usuwanie lokalizacji anatomicznych w ramach materiału diagnostycznego.</w:t>
      </w:r>
    </w:p>
    <w:p w14:paraId="4300D93C" w14:textId="20D71377"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Dodawanie, edycja, usuwanie badań (np. kasetek/bloczków)</w:t>
      </w:r>
      <w:r w:rsidR="008D4E64" w:rsidRPr="00F04478">
        <w:rPr>
          <w:rFonts w:ascii="Verdana" w:hAnsi="Verdana" w:cs="Times New Roman"/>
          <w:sz w:val="16"/>
          <w:szCs w:val="16"/>
        </w:rPr>
        <w:t>.</w:t>
      </w:r>
    </w:p>
    <w:p w14:paraId="129AB388" w14:textId="13E90805"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Dodawanie, edycja, usuwanie preparatów.</w:t>
      </w:r>
    </w:p>
    <w:p w14:paraId="53E62EFD" w14:textId="7F78086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Dodawanie, edycja, usuwanie rozpoznań do badań w przypadku.</w:t>
      </w:r>
    </w:p>
    <w:p w14:paraId="40A57DCC" w14:textId="6A1ED6BE"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Wydruk zatwierdzonego przypadku lub w statusie „wynik wstępny”. Możliwość podglądu wydruku przed autoryzacją lub wydrukowaniem.</w:t>
      </w:r>
    </w:p>
    <w:p w14:paraId="27D7C571" w14:textId="3DCB4927"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Podgląd historii operacji użytkowników w kontekście przypadku, materiału diagnostycznego, lokalizacji, badań i preparatów.</w:t>
      </w:r>
    </w:p>
    <w:p w14:paraId="1BBE3AB9" w14:textId="5635A9C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Przechowywanie historycznej wersji wszystkich wyników przypadku.</w:t>
      </w:r>
    </w:p>
    <w:p w14:paraId="6EE27D9B" w14:textId="0226F3C7"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zdefiniowania nazewnictwa osób uczestniczących w procesie diagnostycznym w zależności od typu badania.</w:t>
      </w:r>
      <w:r w:rsidRPr="00F04478">
        <w:rPr>
          <w:rFonts w:ascii="Verdana" w:hAnsi="Verdana" w:cs="Times New Roman"/>
          <w:sz w:val="16"/>
          <w:szCs w:val="16"/>
        </w:rPr>
        <w:tab/>
      </w:r>
    </w:p>
    <w:p w14:paraId="2E0468C1" w14:textId="0003E2CD"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podpinania załączników (min. dokument Microsoft Word, zdjęcie) pod dowolne skierowanie, materiał, badanie, preparat, etap procesu i zlecenie wypożyczenia.</w:t>
      </w:r>
    </w:p>
    <w:p w14:paraId="129598D3" w14:textId="29E95037"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Możliwość zdefiniowania procedur wykonywanych przy odpowiedniej akcji (np. dodaj materiał, edytuj materiał), które mogą realizować automatyzację działań, np. podpinanie procedur rozliczeniowych, generowanie statystyk, dodawanie rutynowych preparatów itp. </w:t>
      </w:r>
    </w:p>
    <w:p w14:paraId="101491A0" w14:textId="4C923288"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 przypadku słownika barwień dodatkowych możliwość definiowania pozycji preferowanych przez użytkownika.</w:t>
      </w:r>
    </w:p>
    <w:p w14:paraId="002358BB" w14:textId="713CFC3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Szablony globalne (widoczne per jednostka organizacyjna) typowych tekstów (rozpoznanie kliniczne, obraz makroskopowy, rozpoznanie patomorfologiczne, komentarze, uwagi do wyniku itp.) zarządzane przez użytkownika z odpowiednim poziomem uprawnień.</w:t>
      </w:r>
    </w:p>
    <w:p w14:paraId="670FBAD9" w14:textId="13CD920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Szablony prywatne typowych tekstów (rozpoznanie kliniczne, obraz makroskopowy, rozpoznanie patomorfologiczne,  komentarze, uwagi do wyniku itp.) widoczne i edytowalne tylko przez osobę tworzącą.</w:t>
      </w:r>
    </w:p>
    <w:p w14:paraId="61800A85" w14:textId="646DED7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lastRenderedPageBreak/>
        <w:t>Funkcja cesji przypadku do innego odpowiedzialnego.</w:t>
      </w:r>
    </w:p>
    <w:p w14:paraId="082089EE" w14:textId="23F2C280"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Obsługa wycinków histopatologicznych wymagających odwapniania lub dotrwalania.</w:t>
      </w:r>
    </w:p>
    <w:p w14:paraId="63581B5E" w14:textId="26C83504"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7" w:name="_Toc194396359"/>
      <w:r w:rsidRPr="00F04478">
        <w:rPr>
          <w:rFonts w:ascii="Verdana" w:hAnsi="Verdana" w:cs="Times New Roman"/>
          <w:color w:val="auto"/>
          <w:sz w:val="16"/>
          <w:szCs w:val="16"/>
        </w:rPr>
        <w:t>Kontrola jakości, terminowość badań i zdarzenia niepożądane</w:t>
      </w:r>
      <w:bookmarkEnd w:id="7"/>
    </w:p>
    <w:p w14:paraId="67F1FDE6" w14:textId="77777777" w:rsidR="0006659A" w:rsidRPr="00F04478" w:rsidRDefault="0006659A" w:rsidP="00F04478">
      <w:pPr>
        <w:spacing w:line="360" w:lineRule="auto"/>
        <w:rPr>
          <w:rFonts w:ascii="Verdana" w:hAnsi="Verdana" w:cs="Times New Roman"/>
          <w:sz w:val="16"/>
          <w:szCs w:val="16"/>
        </w:rPr>
      </w:pPr>
    </w:p>
    <w:p w14:paraId="461ECFEC" w14:textId="4ABCD4EC"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Kontekstowy rejestr zdarzeń kontroli jakości z dokładnością do przypadku/skierowania, materiału, badania, preparatu, wypożyczenia, etapu procesu, odwapniacza.</w:t>
      </w:r>
    </w:p>
    <w:p w14:paraId="271B645B" w14:textId="20951970"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Kategoria zgłoszenia kontroli jakości do wyboru ze słownika konfigurowalnego przez upoważnionego użytkownika. Zgłoszenie musi mieć powiązanie z osobą zgłaszającą i odpowiedzialną. Automatyczne, dynamiczne określanie osoby odpowiedzialnej za rozwiązanie danego zgłoszenia na podstawie konfiguracji w typie zgłoszenia (np. za błąd zatopienia bloczka odpowiada osoba faktycznie zatapiająca ten bloczek).</w:t>
      </w:r>
    </w:p>
    <w:p w14:paraId="60E5C5CE" w14:textId="017F26BE"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wykorzystania zdarzeń kontroli jakości do sporządzania statystyk zdarzeń zachodzących w jednostce.</w:t>
      </w:r>
    </w:p>
    <w:p w14:paraId="69E26C5D" w14:textId="44A1EEFF" w:rsidR="009E4757" w:rsidRPr="00F04478" w:rsidRDefault="009E4757" w:rsidP="00F04478">
      <w:pPr>
        <w:pStyle w:val="Akapitzlist"/>
        <w:numPr>
          <w:ilvl w:val="1"/>
          <w:numId w:val="13"/>
        </w:numPr>
        <w:spacing w:line="360" w:lineRule="auto"/>
        <w:ind w:left="567"/>
        <w:rPr>
          <w:rFonts w:ascii="Verdana" w:hAnsi="Verdana" w:cs="Times New Roman"/>
          <w:sz w:val="16"/>
          <w:szCs w:val="16"/>
        </w:rPr>
      </w:pPr>
      <w:r w:rsidRPr="00F04478">
        <w:rPr>
          <w:rFonts w:ascii="Verdana" w:hAnsi="Verdana" w:cs="Times New Roman"/>
          <w:sz w:val="16"/>
          <w:szCs w:val="16"/>
        </w:rPr>
        <w:t>Możliwość automatycznego dodawania zdarzeń kontroli jakości w przypadku wykrycia przez system sytuacji nietypowych, takich tak:</w:t>
      </w:r>
    </w:p>
    <w:p w14:paraId="2E6427A5" w14:textId="51E09ED7"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przekazano niekompletny przypadek do diagnostyki;</w:t>
      </w:r>
    </w:p>
    <w:p w14:paraId="5351A215" w14:textId="0F81E4B1"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wykonano odbarwienie/przebarwienie preparatu;</w:t>
      </w:r>
    </w:p>
    <w:p w14:paraId="7DC3E1DB" w14:textId="2A90689F"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usunięto przypadek bez wydania wyniku;</w:t>
      </w:r>
    </w:p>
    <w:p w14:paraId="5EBC93C8" w14:textId="14FF151B"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usunięto przypadek po wydaniu wyniku;</w:t>
      </w:r>
    </w:p>
    <w:p w14:paraId="037E3800" w14:textId="5630B7F5"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dokonano cesji przypadku na innego diagnozującego;</w:t>
      </w:r>
    </w:p>
    <w:p w14:paraId="1C371166" w14:textId="53B81D24"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wynik podpisany cyfrowo przez osobę inną niż odpowiedzialny za przypadek;</w:t>
      </w:r>
    </w:p>
    <w:p w14:paraId="07A32EC7" w14:textId="22451F28"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błąd weryfikacji wersji wydawanego wyniku;</w:t>
      </w:r>
    </w:p>
    <w:p w14:paraId="1A464F07" w14:textId="7880D36E"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próba wydania wyniku w złej wersji;</w:t>
      </w:r>
    </w:p>
    <w:p w14:paraId="16528501" w14:textId="59430BF6"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próba usunięcia podjętego zlecenia przez zintegrowany system zewnętrzny;</w:t>
      </w:r>
    </w:p>
    <w:p w14:paraId="76C53972" w14:textId="45AF9D50"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preparat wytypowany losowo do technicznej kontroli jakości;</w:t>
      </w:r>
    </w:p>
    <w:p w14:paraId="0739D290" w14:textId="423402D1"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podano numer materiału ręcznie zamiast skanowania kodu kreskowego;</w:t>
      </w:r>
    </w:p>
    <w:p w14:paraId="504F9370" w14:textId="4BCDB095"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podano numer odwapniacza ręcznie zamiast skanowania kodu kreskowego;</w:t>
      </w:r>
    </w:p>
    <w:p w14:paraId="17D80136" w14:textId="33CAD6A6"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podano numer kasetki/bloczka ręcznie zamiast skanowania kodu kreskowego;</w:t>
      </w:r>
    </w:p>
    <w:p w14:paraId="54B34012" w14:textId="419BAF3E"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podano numer preparatu ręcznie zamiast skanowania kodu kreskowego;</w:t>
      </w:r>
    </w:p>
    <w:p w14:paraId="7BADC901" w14:textId="2CB847CD"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podano numer skierowania ręcznie zamiast skanowania kodu kreskowego;</w:t>
      </w:r>
    </w:p>
    <w:p w14:paraId="55051CBB" w14:textId="7B8CBB55"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naruszenie interwału czasowego funkcji stanowiskowej zatapiania;</w:t>
      </w:r>
    </w:p>
    <w:p w14:paraId="402C0508" w14:textId="0CDD1C16"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naruszenie interwału czasowego funkcji stanowiskowej krojenia;</w:t>
      </w:r>
    </w:p>
    <w:p w14:paraId="73C9C83D" w14:textId="0046652B"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wynik ostateczny wydany po terminie oczekiwanej daty wyniku;</w:t>
      </w:r>
    </w:p>
    <w:p w14:paraId="1F13BF2D" w14:textId="03226036" w:rsidR="009E4757" w:rsidRPr="00F04478" w:rsidRDefault="0006659A"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cofnięcie zatwierdzenia wyniku ostatecznego.</w:t>
      </w:r>
    </w:p>
    <w:p w14:paraId="5399F44B" w14:textId="63E3481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Pole tekstowe do wpisania własnych uwag dotyczących zdarzenia kontroli jakości, np. sposobu rozwiązania niezgodności. </w:t>
      </w:r>
    </w:p>
    <w:p w14:paraId="543DBE02" w14:textId="38D3CC6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Skierowanie uwag do osoby odpowiedzialnej w formie komunikatu systemowego i listy roboczej zgłoszeń przypisanych użytkownikowi. Osoba odpowiedzialna musi mieć możliwość udzielenia odpowiedzi na zauważone niezgodności i zamknięcia zgłoszenia.</w:t>
      </w:r>
    </w:p>
    <w:p w14:paraId="5FAF279E" w14:textId="70C52859"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Wydruk i możliwość eksportu do pliku Excel XML (lub CSV) oraz PDF rejestru zdarzeń kontroli jakości za dany okres dla danej jednostki organizacyjnej z możliwością filtracji według osoby odpowiedzialnej za zdarzenie, grupy typów zdarzeń, konkretnego typu zdarzenia, statusu zdarzenia, zlecającego i jego oddziału, daty rejestracji zdarzenia od</w:t>
      </w:r>
      <w:r w:rsidR="0042636C" w:rsidRPr="00F04478">
        <w:rPr>
          <w:rFonts w:ascii="Verdana" w:hAnsi="Verdana" w:cs="Times New Roman"/>
          <w:sz w:val="16"/>
          <w:szCs w:val="16"/>
        </w:rPr>
        <w:t>-</w:t>
      </w:r>
      <w:r w:rsidRPr="00F04478">
        <w:rPr>
          <w:rFonts w:ascii="Verdana" w:hAnsi="Verdana" w:cs="Times New Roman"/>
          <w:sz w:val="16"/>
          <w:szCs w:val="16"/>
        </w:rPr>
        <w:t>do.</w:t>
      </w:r>
    </w:p>
    <w:p w14:paraId="5D8FD0E2" w14:textId="45641C8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Kontrola losowa preparatów i kierowanie ich do weryfikacji przez zdefiniowaną osobę. </w:t>
      </w:r>
    </w:p>
    <w:p w14:paraId="714D4AEF" w14:textId="23C7FDB8"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Podpowiadanie najczęściej zgłaszanych typów zdarzeń niepożądanych do szybkiej rejestracji przez użytkownika (algorytm samouczący się).</w:t>
      </w:r>
    </w:p>
    <w:p w14:paraId="3D40B50D" w14:textId="7A7576A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lastRenderedPageBreak/>
        <w:t>W przypadku kontroli losowej preparatów możliwość pominięcia preparatów ze zleceń z priorytetowym trybem przyjęcia, aby nie opóźniać procesu diagnostycznego.</w:t>
      </w:r>
    </w:p>
    <w:p w14:paraId="766E81DF" w14:textId="03CA3390"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System umożliwia weryfikację, czy pracownik skanuje kod kreskowy z obiektu czy wpisuje go ręcznie. Możliwość automatycznego generowania zdarzeń kontroli jakości w takiej sytuacji.</w:t>
      </w:r>
    </w:p>
    <w:p w14:paraId="0879332A" w14:textId="3ABD8299"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System może weryfikować czy operacje pracownika na ekranach stanowiskowych następują w rytmie czasowym (interwałach) określonym wewnętrznymi przepisami kontroli jakości.  Możliwość automatycznego generowania zdarzeń kontroli jakości w sytuacji naruszenia minimalnego interwału czasowego.</w:t>
      </w:r>
    </w:p>
    <w:p w14:paraId="3BFBEBAB" w14:textId="41549247" w:rsidR="00F7561F" w:rsidRPr="00F04478" w:rsidRDefault="00F7561F"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System umożliwia zastąpienie daty terminowości automatycznie wyliczonej na podstawie przyjętych reguł poprzez ręczną zmianę oczekiwanej daty wyniku dla zlecającego i diagnozującego w konkretnym pakiecie badań</w:t>
      </w:r>
    </w:p>
    <w:p w14:paraId="0597AD5C" w14:textId="6AB717CC"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terminowości (liczony względem oczekiwanej daty wyniku dla zlecającego) dla wybranej grupy badań wyfiltrowanej wg możliwych parametrów jednostki organizacyjnej,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w:t>
      </w:r>
      <w:r w:rsidR="00122AD5" w:rsidRPr="00F04478">
        <w:rPr>
          <w:rFonts w:ascii="Verdana" w:hAnsi="Verdana" w:cs="Times New Roman"/>
          <w:sz w:val="16"/>
          <w:szCs w:val="16"/>
        </w:rPr>
        <w:t>,</w:t>
      </w:r>
      <w:r w:rsidRPr="00F04478">
        <w:rPr>
          <w:rFonts w:ascii="Verdana" w:hAnsi="Verdana" w:cs="Times New Roman"/>
          <w:sz w:val="16"/>
          <w:szCs w:val="16"/>
        </w:rPr>
        <w:t xml:space="preserve"> data rejestracji, data przekazania odpowiedzialnemu, oczekiwana data wyniku, data wyniku (zatwierdzenia przypadku), czas diagnostyki w dniach, status nowotworu złośliwego (tak/nie), czy przypadek został zakończony w terminie. Raport powinien zawierać w podsumowaniu sumę wyszukanych przypadków, ilość przypadków w terminie, ilość przypadków poniżej 24 godzin do przeterminowania, ilość przeterminowanych przypadków oraz z nie określonym czasem. Dodatkowo podsumowanie prezentuje statystykę czasu obróbki technicznej, czasu diagnostyki oraz czas całościowy z podziałem na ilość dni: średnia, minimalna, maksymalna, mediana.</w:t>
      </w:r>
    </w:p>
    <w:p w14:paraId="30EC66D6" w14:textId="0EAB7AE1"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terminowości (liczony względem oczekiwanej daty wyniku dla diagnozującego) dla wybranej grupy badań wyfiltrowanej wg możliwych parametrów jednostki organizacyjnej,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w:t>
      </w:r>
      <w:r w:rsidR="00122AD5" w:rsidRPr="00F04478">
        <w:rPr>
          <w:rFonts w:ascii="Verdana" w:hAnsi="Verdana" w:cs="Times New Roman"/>
          <w:sz w:val="16"/>
          <w:szCs w:val="16"/>
        </w:rPr>
        <w:t>,</w:t>
      </w:r>
      <w:r w:rsidRPr="00F04478">
        <w:rPr>
          <w:rFonts w:ascii="Verdana" w:hAnsi="Verdana" w:cs="Times New Roman"/>
          <w:sz w:val="16"/>
          <w:szCs w:val="16"/>
        </w:rPr>
        <w:t xml:space="preserve"> data rejestracji, data przekazania odpowiedzialnemu, oczekiwana data wyniku, data wyniku (zatwierdzenia przypadku), czas diagnostyki w dniach, status nowotworu złośliwego (tak/nie), czy przypadek został zakończony w terminie. Raport powinien zawierać w podsumowaniu sumę wyszukanych przypadków, ilość przypadków w terminie, ilość przypadków poniżej 24 godzin do przeterminowania, ilość przeterminowanych przypadków oraz z nie określonym czasem. Dodatkowo podsumowanie prezentuje statystykę czasu obróbki technicznej, czasu diagnostyki oraz czas całościowy z podziałem na ilość dni: średnia, minimalna, maksymalna, mediana.</w:t>
      </w:r>
    </w:p>
    <w:p w14:paraId="0AB1999F" w14:textId="01E20028"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terminowości (analiza czasu trwania badania) dla wybranej grupy badań wyfiltrowanej wg możliwych parametrów odpowiedzianego (lekarza za przypadek), zlecającego i jego oddziału, znaczników zlecającego oraz pakietu badań, daty rejestracji oraz zatwierdzenia, oczekiwanej daty wyniku, statusu zatwierdzenia, trybu przyjęcia, projektu, ścieżki klinicznej, topografii, wykrycia nowotworu złośliwego, typu badania, materiału, podtypu materiału, lekarza kierującego, statusu terminowości. Raport powinien zawierać kolumny: numer pakietu badań, imię i nazwisko pacjenta (opcjonalnie jego ID), odpowiedzialny za przypadek, zlecający</w:t>
      </w:r>
      <w:r w:rsidR="00122AD5" w:rsidRPr="00F04478">
        <w:rPr>
          <w:rFonts w:ascii="Verdana" w:hAnsi="Verdana" w:cs="Times New Roman"/>
          <w:sz w:val="16"/>
          <w:szCs w:val="16"/>
        </w:rPr>
        <w:t>,</w:t>
      </w:r>
      <w:r w:rsidRPr="00F04478">
        <w:rPr>
          <w:rFonts w:ascii="Verdana" w:hAnsi="Verdana" w:cs="Times New Roman"/>
          <w:sz w:val="16"/>
          <w:szCs w:val="16"/>
        </w:rPr>
        <w:t xml:space="preserve"> data rejestracji, data przekazania odpowiedzialnemu, oczekiwana data wyniku, data wyniku (zatwierdzenia przypadku), czas diagnostyki w dniach, status nowotworu złośliwego (tak/nie), czy przypadek został zakończony w terminie. Raport powinien zawierać w podsumowaniu sumę wyszukanych przypadków, ilość przypadków w terminie, ilość przypadków poniżej 24 godzin do przeterminowania, ilość przeterminowanych przypadków oraz z nie określonym czasem. Dodatkowo </w:t>
      </w:r>
      <w:r w:rsidRPr="00F04478">
        <w:rPr>
          <w:rFonts w:ascii="Verdana" w:hAnsi="Verdana" w:cs="Times New Roman"/>
          <w:sz w:val="16"/>
          <w:szCs w:val="16"/>
        </w:rPr>
        <w:lastRenderedPageBreak/>
        <w:t>podsumowanie prezentuje statystykę czasu obróbki technicznej, czasu diagnostyki oraz czas całościowy z podziałem na ilość dni: średnia, minimalna, maksymalna, mediana.</w:t>
      </w:r>
    </w:p>
    <w:p w14:paraId="51072A18" w14:textId="3DE3A2FC"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terminowości badań śródoperacyjnych (liczony od daty otrzymania materiału do daty przekazania rozpoznania) filtrowany według kryteriów jednostki organizacyjnej, daty otrzymania materiału oraz odpowiedzialnego za przypadek. Raporty powinien zawierać kolumny: numer pakietu badań, jednostka organizacyjna, odpowiedzialny, data otrzymania materiału, data przekazania rozpoznania, czas trwania badania. Raport powinien zawierać w podsumowaniu średni czas diagnostyki oraz medianę, czas trwania, liczbę rozpoznań oraz narastający procent rozpoznań. Raporty powinny prezentować wykresy ilościowe wg wybranego interwału.</w:t>
      </w:r>
    </w:p>
    <w:p w14:paraId="0426A262" w14:textId="249ED19F"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czasu wykonania badań (analiza czasu od daty rejestracji do wykrawania) dla wybranej grupy badań wyfiltrowanej wg możliwych parametrów (jednostka organizacyjna, zlecający i jego oddział, znacznik zlecającego, data rejestracji, tryb przyjęcia,  projekt, ścieżka kliniczna, typ i podtyp materiału, lekarz kierujący). Raport powinien zawierać kolumny: numer pakietu badań, imię i nazwisko pacjenta (opcjonalnie jego ID), zlecający, data rejestracji, data wykrawania, czas trwania (dni od daty rejestracji do wykrawania).</w:t>
      </w:r>
    </w:p>
    <w:p w14:paraId="5646D898" w14:textId="172372AE"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czasu wykonania badań (analiza czasu od daty utrwalenia do wykrawania) dla wybranej grupy badań wyfiltrowanej wg możliwych parametrów (jednostka organizacyjna, zlecający i jego oddział, znacznik zlecającego, data rejestracji, tryb przyjęcia,  projekt, ścieżka kliniczna, typ i podtyp materiału, lekarz kierujący, status terminowości). Raport powinien zawierać kolumny: numer pakietu badań, imię i nazwisko pacjenta (opcjonalnie jego ID), zlecający, materiał, data pobrania/zabiegu, data utrwalenia, data otrzymania i rejestracji, dopuszczalna data wykrawania, data wykrawania, status terminowości, czas utrwalania (dni od daty utrwalenia do wykrawania).</w:t>
      </w:r>
    </w:p>
    <w:p w14:paraId="1F406EDC" w14:textId="7C51AB39"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Raporty wydajności personelu: rejestracja przypadków i materiałów, pobieranie materiału do kasetek (wg lekarza pobierającego i technika pobierającego), zatapianie kasetek, krojenie preparatów, barwienie preparatów (także wg typu preparatu), kompletacja preparatów, liczba przypadków/osoba odpowiedzialna, liczba skompletowanych preparatów/osoba odpowiedzialna, zeskanowane preparaty. Raporty muszą umożliwiać analizę w ujęciu godzinowym, dziennym i miesięcznym. Raporty muszą być wykonywane wg kryteriów: data wykonania czynności/ rejestracji czynności, zlecający, oddział, osoba wykonująca, jednostka organizacyjna, interwał. Raporty powinny zawierać kolumny: osoba wykonująca, rodzaj materiału/badania (w zależności od raportu), liczba przypadków/ materiałów/ badań/ preparatów (w zależności od raportu). Raporty powinny prezentować wykresy ilościowe wg wybranego interwału.</w:t>
      </w:r>
    </w:p>
    <w:p w14:paraId="1E838FE4" w14:textId="22A741E5" w:rsidR="000C1B21"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Automatyczne, dynamiczne wyznaczanie daty oczekiwanego wyniku na podstawie reguł terminowości dotyczących zleceniodawców oraz personelu diagnostycznego. Kryteria powinny zawierać jednostkę wykonującą, zleceniodawcę, typ materiału, badania, preparatu, etapu procesu, tryb przyjęcia, projekt, ścieżkę kliniczną, profil cennika, liczbę badań, liczbę preparatów, zlecenia barwień dodatkowych, </w:t>
      </w:r>
      <w:proofErr w:type="spellStart"/>
      <w:r w:rsidRPr="00F04478">
        <w:rPr>
          <w:rFonts w:ascii="Verdana" w:hAnsi="Verdana" w:cs="Times New Roman"/>
          <w:sz w:val="16"/>
          <w:szCs w:val="16"/>
        </w:rPr>
        <w:t>odwapniaczy</w:t>
      </w:r>
      <w:proofErr w:type="spellEnd"/>
      <w:r w:rsidRPr="00F04478">
        <w:rPr>
          <w:rFonts w:ascii="Verdana" w:hAnsi="Verdana" w:cs="Times New Roman"/>
          <w:sz w:val="16"/>
          <w:szCs w:val="16"/>
        </w:rPr>
        <w:t>, dodatkowych konsultacji itp.</w:t>
      </w:r>
    </w:p>
    <w:p w14:paraId="5394A727" w14:textId="77777777" w:rsidR="000C1B21"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Wyznaczanie terminowości dla personelu diagnostycznego dodatkowo pozwala na odrębne ustalenie oczekiwanego terminu wyniku wstępnego oraz ostatecznego obliczanego od daty rejestracji pakietu badań lub daty zakończenia procesu technicznego, lub daty przekazania przypadku odpowiedzialnemu.</w:t>
      </w:r>
    </w:p>
    <w:p w14:paraId="78ED1409" w14:textId="37B5C6B4"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Data oczekiwanego wyniku powinna się wyznaczać i modyfikować na bieżąco od rozpoczęcia pierwszych prac nad przypadkiem. Reguły powinny określać bazowy czas lub wydłużenie czasu względem czasu bazowego. Czas powinien móc być określany w minutach i dniach (zarówno kalendarzowych, jak i roboczych).</w:t>
      </w:r>
    </w:p>
    <w:p w14:paraId="3A268B0A" w14:textId="681658F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Lista robocza kontroli jakości – przedstawiająca zdarzenia, za które odpowiada dany użytkownik. Lista filtrowana wg osoby odpowiedzialnej, grupy typu zdarzenia, typu zdarzenia, statusu zdarzenia (np. otwarte, rozwiązane, niemożliwe do rozwiązania), zlecającego, oddziału, daty rejestracji zdarzenia.</w:t>
      </w:r>
    </w:p>
    <w:p w14:paraId="7A338974" w14:textId="502E1169"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Kalendarz kierownika – pozwalający na manualne określenie dni wolnych na potrzeby obliczania terminowości (jeżeli w danej regule liczona w dniach roboczych) oraz osób odpowiedzialnych za </w:t>
      </w:r>
      <w:r w:rsidRPr="00F04478">
        <w:rPr>
          <w:rFonts w:ascii="Verdana" w:hAnsi="Verdana" w:cs="Times New Roman"/>
          <w:sz w:val="16"/>
          <w:szCs w:val="16"/>
        </w:rPr>
        <w:lastRenderedPageBreak/>
        <w:t>prowadzenie losowej kontroli preparatów w danym dniu. Możliwość automatycznego definiowania dni wolnych na dany rok, zgodnie z obowiązującą w Polsce listą dni wolnych od pracy.</w:t>
      </w:r>
    </w:p>
    <w:p w14:paraId="6308A4A5" w14:textId="0638CB57"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8" w:name="_Toc194396360"/>
      <w:r w:rsidRPr="00F04478">
        <w:rPr>
          <w:rFonts w:ascii="Verdana" w:hAnsi="Verdana" w:cs="Times New Roman"/>
          <w:color w:val="auto"/>
          <w:sz w:val="16"/>
          <w:szCs w:val="16"/>
        </w:rPr>
        <w:t>Obsługa stanowisk z dedykowanymi ekranami stanowiskowymi do współpracy z czytnikami kodów</w:t>
      </w:r>
      <w:bookmarkEnd w:id="8"/>
    </w:p>
    <w:p w14:paraId="7E55AC9F" w14:textId="77777777" w:rsidR="0006659A" w:rsidRPr="00F04478" w:rsidRDefault="0006659A" w:rsidP="00F04478">
      <w:pPr>
        <w:spacing w:line="360" w:lineRule="auto"/>
        <w:rPr>
          <w:rFonts w:ascii="Verdana" w:hAnsi="Verdana" w:cs="Times New Roman"/>
          <w:sz w:val="16"/>
          <w:szCs w:val="16"/>
        </w:rPr>
      </w:pPr>
    </w:p>
    <w:p w14:paraId="5DA12EF9" w14:textId="76CAFAF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Ekrany stanowiskowe wykorzystują sygnalizację dźwiękową, umożliwiającą pracę „bezwzrokowo” z czytnikiem kodów.</w:t>
      </w:r>
    </w:p>
    <w:p w14:paraId="0B93E8EB" w14:textId="152B7CC1"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Stanowisko rejestracji materiału diagnostycznego - kompletacja i wysyłka kontenerów z przesyłkami materiału diagnostycznego po stronie zlecającego</w:t>
      </w:r>
    </w:p>
    <w:p w14:paraId="445B2669" w14:textId="7FD2A82C" w:rsidR="009E4757" w:rsidRPr="00F04478" w:rsidRDefault="0006659A"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Zarejestrowanie zleceń w systemie, generowanie skierowań i przyporządkowanie kodów do pojemnika/ów z materiałem lub szkiełek z rozmazem przypisanych do określonego miejsca pobrania. Obsługa różnego rodzaju zleceń, np. cytologia, histopatologia, konsultacja  itp. Typy rejestrowanych materiałów oraz formularz zlecenia z polami definiowanymi przez uprawnionego użytkownika zależą od wybranego rodzaju zlecenia i jednostki wykonującej.</w:t>
      </w:r>
    </w:p>
    <w:p w14:paraId="77DD55F8" w14:textId="131F1FF6"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Dodanie do kontenera z przesyłką zarejestrowanych materiałów diagnostycznych poprzez zeskanowanie kodu ze skierowania, do którego zostały przypisane, lub ręczne wprowadzenie numeru skierowania. </w:t>
      </w:r>
    </w:p>
    <w:p w14:paraId="01380468" w14:textId="013A79C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Zatwierdzenie („zamknięcie”) przesyłki wraz z wpisaniem numeru listu przewozowego firmy kurierskiej lub oznaczenie transportu we własnym zakresie.</w:t>
      </w:r>
    </w:p>
    <w:p w14:paraId="5D0DC041" w14:textId="7686DFD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wydruku listy skierowań i materiałów składających się na daną przesyłkę.</w:t>
      </w:r>
    </w:p>
    <w:p w14:paraId="73955979" w14:textId="2267A3F7"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podejrzenia ewentualnych uwag dotyczących kompletności i zawartości przesyłki, które wprowadził zakład patomorfologii.</w:t>
      </w:r>
    </w:p>
    <w:p w14:paraId="439676C9" w14:textId="2A896C18"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Stanowisko przyjęć materiału</w:t>
      </w:r>
    </w:p>
    <w:p w14:paraId="7E57D25C" w14:textId="1662838B"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Dla zleceń zleconych w systemie na stanowisku rejestracji materiałów lub poprzez integracje HL7 z obsługą próbek powiązanych ze zleceniem: weryfikacja kompletności skanerem kodów.</w:t>
      </w:r>
      <w:r w:rsidRPr="00F04478">
        <w:rPr>
          <w:rFonts w:ascii="Verdana" w:hAnsi="Verdana" w:cs="Times New Roman"/>
          <w:sz w:val="16"/>
          <w:szCs w:val="16"/>
        </w:rPr>
        <w:tab/>
      </w:r>
    </w:p>
    <w:p w14:paraId="0A2E0F5B" w14:textId="0046EA69"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Dla zleceń niezleconych w systemie (rejestrowanych ręcznie lub poprzez integracje HL7 bez obsługi próbek powiązanych ze zleceniem): rejestracja pacjenta oraz nadanie i wydruk etykiet z kodami kreskowymi na skierowanie i pojemniki z materiałem.</w:t>
      </w:r>
    </w:p>
    <w:p w14:paraId="240FDA52" w14:textId="562ABB77"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wprowadzenia uwag dotyczących kompletności i zawartości przesyłki, które będzie widział zleceniodawca w kontekście przesyłki na stanowisku rejestracji materiału.</w:t>
      </w:r>
    </w:p>
    <w:p w14:paraId="0F37417A" w14:textId="5258D6F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Skanowanie dostarczonego skierowania, jeśli jest w wersji papierowej w celu załączenia jako obrazu do badania pacjenta. Funkcjonalność skanowania musi być wywoływana wprost z oferowanego systemu, a skan musi być podpinany kontekstowo pod odpowiedni obiekt (skierowanie/przypadek), niezależnie od liczby stron.</w:t>
      </w:r>
    </w:p>
    <w:p w14:paraId="55D795F3" w14:textId="54E7123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korekty danych pacjenta otrzymanych w ramach zlecenia elektronicznego ze zintegrowanego systemu tylko przez uprawnionego użytkownika.</w:t>
      </w:r>
    </w:p>
    <w:p w14:paraId="4AA060B2" w14:textId="31626CAB"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anulowania (odrzucenia) zlecenia wraz z koniecznością podania powodu.</w:t>
      </w:r>
    </w:p>
    <w:p w14:paraId="05AA6934" w14:textId="20217E84"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Stanowisko wykrawania (pobierania) materiału</w:t>
      </w:r>
    </w:p>
    <w:p w14:paraId="7592AFE0" w14:textId="2A9E0434"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Skanowanie pojemnika z materiałem w celu wywołania w systemie badania pacjenta. W otwierającym się oknie widoczne są dane pacjenta oraz skierowanie i/ lub jego obraz.</w:t>
      </w:r>
      <w:r w:rsidRPr="00F04478">
        <w:rPr>
          <w:rFonts w:ascii="Verdana" w:hAnsi="Verdana" w:cs="Times New Roman"/>
          <w:sz w:val="16"/>
          <w:szCs w:val="16"/>
        </w:rPr>
        <w:tab/>
      </w:r>
    </w:p>
    <w:p w14:paraId="1772293A" w14:textId="6F6396F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Nadawanie numeru badania histologicznego (bloczka), kolejnego w czasie trwania procesu pobierania z zabezpieczeniem przed wykorzystaniem tego samego numeru ponownie.</w:t>
      </w:r>
    </w:p>
    <w:p w14:paraId="11A44B7F" w14:textId="0AACEB32"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Przypisanie materiału do lekarza pobierającego wybieranego z listy lekarzy (domyślny ostatni wybór). Zapisanie w systemie informacji o osobie pobierającej oraz asystującym mu techniku.</w:t>
      </w:r>
    </w:p>
    <w:p w14:paraId="66F10E2B" w14:textId="2AF2EFD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Wprowadzanie opisu makroskopowego dla każdego dostarczonego materiału – dowolnej treści lub z dostępnych szablonów tekstowych, lub sformalizowanych. Szablony sformalizowane mogą być tworzone w dowolnej liczbie przez uprawnionego użytkownika.  Szablony sformalizowane powinny </w:t>
      </w:r>
      <w:r w:rsidRPr="00F04478">
        <w:rPr>
          <w:rFonts w:ascii="Verdana" w:hAnsi="Verdana" w:cs="Times New Roman"/>
          <w:sz w:val="16"/>
          <w:szCs w:val="16"/>
        </w:rPr>
        <w:lastRenderedPageBreak/>
        <w:t>móc zawierać typy pól: wyboru (</w:t>
      </w:r>
      <w:proofErr w:type="spellStart"/>
      <w:r w:rsidRPr="00F04478">
        <w:rPr>
          <w:rFonts w:ascii="Verdana" w:hAnsi="Verdana" w:cs="Times New Roman"/>
          <w:sz w:val="16"/>
          <w:szCs w:val="16"/>
        </w:rPr>
        <w:t>checkbox</w:t>
      </w:r>
      <w:proofErr w:type="spellEnd"/>
      <w:r w:rsidRPr="00F04478">
        <w:rPr>
          <w:rFonts w:ascii="Verdana" w:hAnsi="Verdana" w:cs="Times New Roman"/>
          <w:sz w:val="16"/>
          <w:szCs w:val="16"/>
        </w:rPr>
        <w:t xml:space="preserve">), słownikowe, numeryczne (z określoną precyzją po przecinku), tekstowe, daty/czasu, ukrywane/pokazywane w zależności od pozostałych pól i ich kombinacji, obliczane automatycznie na podstawie innych pól i ich kombinacji,  a także automatycznie generować tekstowy opis makroskopowy zgodnie z wybranymi/wypełnionymi polami formularza. Funkcjonalność formularzy  musi być wbudowana w oferowane rozwiązanie, bez konieczności dokupowania/wykorzystania dodatkowych modułów lub aplikacji (w tym zintegrowanych). </w:t>
      </w:r>
    </w:p>
    <w:p w14:paraId="48B968F4" w14:textId="017CA906" w:rsidR="009E4757" w:rsidRPr="00F04478" w:rsidRDefault="009E4757" w:rsidP="00F04478">
      <w:pPr>
        <w:pStyle w:val="Akapitzlist"/>
        <w:numPr>
          <w:ilvl w:val="3"/>
          <w:numId w:val="13"/>
        </w:numPr>
        <w:spacing w:line="360" w:lineRule="auto"/>
        <w:ind w:left="1843"/>
        <w:jc w:val="both"/>
        <w:rPr>
          <w:rFonts w:ascii="Verdana" w:hAnsi="Verdana" w:cs="Times New Roman"/>
          <w:sz w:val="16"/>
          <w:szCs w:val="16"/>
        </w:rPr>
      </w:pPr>
      <w:r w:rsidRPr="00F04478">
        <w:rPr>
          <w:rFonts w:ascii="Verdana" w:hAnsi="Verdana" w:cs="Times New Roman"/>
          <w:sz w:val="16"/>
          <w:szCs w:val="16"/>
        </w:rPr>
        <w:t>Możliwość dołączenia zdjęcia obrazu makroskopowego pobranego w kontekście wykrawanego materiału z systemu dokumentacji makroskopowej.</w:t>
      </w:r>
    </w:p>
    <w:p w14:paraId="7F94CE23" w14:textId="757731BA" w:rsidR="000C1B21"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Wprowadzanie uwag tekstowych istotnych dla osób zajmujących się materiałem na dalszych etapach procesu (zatapianie i krojenie). </w:t>
      </w:r>
    </w:p>
    <w:p w14:paraId="46700B9D" w14:textId="11CB71EC" w:rsidR="00CC6841" w:rsidRPr="00F04478" w:rsidRDefault="009E4757" w:rsidP="00F04478">
      <w:pPr>
        <w:pStyle w:val="Akapitzlist"/>
        <w:numPr>
          <w:ilvl w:val="3"/>
          <w:numId w:val="13"/>
        </w:numPr>
        <w:spacing w:line="360" w:lineRule="auto"/>
        <w:ind w:left="1843"/>
        <w:jc w:val="both"/>
        <w:rPr>
          <w:rFonts w:ascii="Verdana" w:hAnsi="Verdana" w:cs="Times New Roman"/>
          <w:sz w:val="16"/>
          <w:szCs w:val="16"/>
        </w:rPr>
      </w:pPr>
      <w:r w:rsidRPr="00F04478">
        <w:rPr>
          <w:rFonts w:ascii="Verdana" w:hAnsi="Verdana" w:cs="Times New Roman"/>
          <w:sz w:val="16"/>
          <w:szCs w:val="16"/>
        </w:rPr>
        <w:t>Sygnalizacja dźwiękowa w ekranach stanowiskowych, jeżeli uwaga jest wpisana.</w:t>
      </w:r>
    </w:p>
    <w:p w14:paraId="3C01A72F" w14:textId="400A06B7"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zdefiniowania stałych zleceń (np. kompletu rutynowych barwień) dla określonych rodzajów badań. Zlecenia stałe przypisywane do bloczka z dostępnej, edytowalnej listy. Wydruk zdefiniowanych szkiełek w odpowiedniej ilości następuje po zeskanowaniu bloczka na stanowisku krojenia.</w:t>
      </w:r>
    </w:p>
    <w:p w14:paraId="26777AEF" w14:textId="67BABAF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Funkcja śledzenia </w:t>
      </w:r>
      <w:proofErr w:type="spellStart"/>
      <w:r w:rsidRPr="00F04478">
        <w:rPr>
          <w:rFonts w:ascii="Verdana" w:hAnsi="Verdana" w:cs="Times New Roman"/>
          <w:sz w:val="16"/>
          <w:szCs w:val="16"/>
        </w:rPr>
        <w:t>odwapniaczy</w:t>
      </w:r>
      <w:proofErr w:type="spellEnd"/>
      <w:r w:rsidRPr="00F04478">
        <w:rPr>
          <w:rFonts w:ascii="Verdana" w:hAnsi="Verdana" w:cs="Times New Roman"/>
          <w:sz w:val="16"/>
          <w:szCs w:val="16"/>
        </w:rPr>
        <w:t xml:space="preserve"> gotowych do zakończenia (pobrania do kasetki).</w:t>
      </w:r>
    </w:p>
    <w:p w14:paraId="50B3F9E4" w14:textId="7C146E54"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Znakowanie materiału jako pobranego w całości. Materiał pobrany w całości nie może być pobierany w ramach II rzutu ani nie podlega utylizacji.</w:t>
      </w:r>
    </w:p>
    <w:p w14:paraId="23867C37" w14:textId="4A39EA79"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wyboru koszyka procesora tkankowego, do którego ma trafić dana kasetka.</w:t>
      </w:r>
    </w:p>
    <w:p w14:paraId="262D2313" w14:textId="3920C10B"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określenia topografii lokalizacji anatomicznej, z której pobrano daną kasetkę.</w:t>
      </w:r>
    </w:p>
    <w:p w14:paraId="452C636B" w14:textId="52BEE5A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określenia proponowanej osoby oceniającej na etapie rejestracji kasetek.</w:t>
      </w:r>
    </w:p>
    <w:p w14:paraId="52EEDAE8" w14:textId="7E3D9A4E"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Zabezpieczenie przed omyłkowym opuszczeniem przypadku, który nie ma zakończonego etapu technicznego.</w:t>
      </w:r>
    </w:p>
    <w:p w14:paraId="3050EAB9" w14:textId="1C74AD2D"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automatycznego dodawania preparatów do badania według skonfigurowanego inicjalnego profilu.</w:t>
      </w:r>
    </w:p>
    <w:p w14:paraId="2B497906" w14:textId="3969A4E4"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Dedykowany ekran pokazujący listę materiałów do opracowania – materiałów, które zostały przyjęte do pracowni, ale z których nie powstały żadne badania.</w:t>
      </w:r>
    </w:p>
    <w:p w14:paraId="3CB4AF66" w14:textId="05E68E96"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Sortowanie listy roboczej wg trybu przyjęcia, projektu i daty otrzymania. Oznaczanie trybów przyjęcia i projektów konfigurowalnymi kolorami oraz przyznawanie trybom przyjęcia i projektom priorytetu sortowania.</w:t>
      </w:r>
    </w:p>
    <w:p w14:paraId="7CCB68FA" w14:textId="0C8BEC17" w:rsidR="00C66BD9" w:rsidRPr="00F04478" w:rsidRDefault="00C66BD9"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eksportu aktualnej listy materiałów do opracowania w formie XML.</w:t>
      </w:r>
    </w:p>
    <w:p w14:paraId="7AB9BC2F" w14:textId="5B6E13B8"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Stanowisko zatapiania</w:t>
      </w:r>
    </w:p>
    <w:p w14:paraId="2AE42DA4" w14:textId="62E74B7E"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Generowanie listy kasetek pozostałych do zatopienia po przeprocesowaniu z wyszczególnieniem trybów pilności, projektów i ścieżek klinicznych.</w:t>
      </w:r>
    </w:p>
    <w:p w14:paraId="2CA7542A" w14:textId="5ACA7222"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Oznaczanie bloczków jako zatopionych poprzez zeskanowanie kodu z kasetki lub ręczne wprowadzenie numeru kasetki.</w:t>
      </w:r>
    </w:p>
    <w:p w14:paraId="2A5494F1" w14:textId="0A880F0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Automatyczne odświeżanie listy kasetek do zatopienia.</w:t>
      </w:r>
    </w:p>
    <w:p w14:paraId="09E2B88C" w14:textId="11EE48CD"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Rejestracja miejsca (stanowisko), czasu (data i godzina) i pracownika zatapiającego.</w:t>
      </w:r>
    </w:p>
    <w:p w14:paraId="6BAA1A8E" w14:textId="00A93E4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wprowadzania uwag tekstowych (w tym możliwość korzystania z szablonów (np. informacja: materiał twardy, wykorzystaj szkiełko adhezyjne) istotnych dla osób zajmujących się materiałem na dalszych etapach procesu (krojenie i barwienie).</w:t>
      </w:r>
    </w:p>
    <w:p w14:paraId="77C99751" w14:textId="7219BCE8" w:rsidR="009E4757" w:rsidRPr="00F04478" w:rsidRDefault="009E4757" w:rsidP="00F04478">
      <w:pPr>
        <w:pStyle w:val="Akapitzlist"/>
        <w:numPr>
          <w:ilvl w:val="3"/>
          <w:numId w:val="13"/>
        </w:numPr>
        <w:spacing w:line="360" w:lineRule="auto"/>
        <w:ind w:left="1843"/>
        <w:jc w:val="both"/>
        <w:rPr>
          <w:rFonts w:ascii="Verdana" w:hAnsi="Verdana" w:cs="Times New Roman"/>
          <w:sz w:val="16"/>
          <w:szCs w:val="16"/>
        </w:rPr>
      </w:pPr>
      <w:r w:rsidRPr="00F04478">
        <w:rPr>
          <w:rFonts w:ascii="Verdana" w:hAnsi="Verdana" w:cs="Times New Roman"/>
          <w:sz w:val="16"/>
          <w:szCs w:val="16"/>
        </w:rPr>
        <w:t>Sygnalizacja dźwiękowa, jeżeli uwaga dot. zatapiania jest wpisana.</w:t>
      </w:r>
    </w:p>
    <w:p w14:paraId="0BBF079F" w14:textId="5374C478"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Sortowanie listy roboczej wg trybu przyjęcia, projektu, ścieżki klinicznej i daty utworzenia kasetki histopatologicznej. Oznaczanie trybów przyjęcia i projektów konfigurowalnymi kolorami oraz przyznawanie trybom przyjęcia, projektom i ścieżkom klinicznym priorytetu sortowania.</w:t>
      </w:r>
    </w:p>
    <w:p w14:paraId="60EAD908" w14:textId="297AC3A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Stanowisko krojenia (stanowisko mikrotomu) ze znakowaniem szkiełek mikroskopowych</w:t>
      </w:r>
    </w:p>
    <w:p w14:paraId="59CE81EA" w14:textId="50A3C8E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lastRenderedPageBreak/>
        <w:t>Generowanie listy bloczków pozostałych do skrojenia po zatopieniu. Lista powinna posiadać możliwość zawężenia do bloczków krojonych w ramach</w:t>
      </w:r>
      <w:r w:rsidR="002F78BB" w:rsidRPr="00F04478">
        <w:rPr>
          <w:rFonts w:ascii="Verdana" w:hAnsi="Verdana" w:cs="Times New Roman"/>
          <w:sz w:val="16"/>
          <w:szCs w:val="16"/>
        </w:rPr>
        <w:t xml:space="preserve"> profilu barwienia,</w:t>
      </w:r>
      <w:r w:rsidRPr="00F04478">
        <w:rPr>
          <w:rFonts w:ascii="Verdana" w:hAnsi="Verdana" w:cs="Times New Roman"/>
          <w:sz w:val="16"/>
          <w:szCs w:val="16"/>
        </w:rPr>
        <w:t xml:space="preserve"> zleceń barwień dodatkowych, zatopionych przez wybraną osobę lub pochodzących z danej jednostki org.</w:t>
      </w:r>
    </w:p>
    <w:p w14:paraId="2C94FEF8" w14:textId="0FEE2F3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Praca w kontekście bloczka poprzez zeskanowanie kodu z bloczka lub ręczne wprowadzenie numeru bloczka (wybór bloczka). W przypadku badań konsultacyjnych możliwe wejście w kontekst obcego bloczka poprzez wybór z listy lub skan kodu kreskowego ze skierowania.</w:t>
      </w:r>
    </w:p>
    <w:p w14:paraId="6B063B9F" w14:textId="383B66F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Wydruk szkiełek na preparaty, które mają powstać z bloczka, z uwzględnieniem zleceń stałych przypisanych do bloczka na etapie pobierania. Automatyczny dynamiczny wybór drukarki odpowiedniej dla danego typu preparatu.</w:t>
      </w:r>
    </w:p>
    <w:p w14:paraId="692A2032" w14:textId="3FFA0A17"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Rejestracja miejsca (stanowisko), czasu (data i godzina) i pracownika opracowującego preparat na stanowisku </w:t>
      </w:r>
      <w:proofErr w:type="spellStart"/>
      <w:r w:rsidRPr="00F04478">
        <w:rPr>
          <w:rFonts w:ascii="Verdana" w:hAnsi="Verdana" w:cs="Times New Roman"/>
          <w:sz w:val="16"/>
          <w:szCs w:val="16"/>
        </w:rPr>
        <w:t>mikrotomowym</w:t>
      </w:r>
      <w:proofErr w:type="spellEnd"/>
      <w:r w:rsidRPr="00F04478">
        <w:rPr>
          <w:rFonts w:ascii="Verdana" w:hAnsi="Verdana" w:cs="Times New Roman"/>
          <w:sz w:val="16"/>
          <w:szCs w:val="16"/>
        </w:rPr>
        <w:t>.</w:t>
      </w:r>
    </w:p>
    <w:p w14:paraId="10220B7D" w14:textId="0EEDCB49"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wprowadzania uwag tekstowych, w tym możliwość korzystania z szablonów (np. informacja: materiał twardy, jakość preparatu może być obniżona) istotnych dla osób zajmujących się materiałem na dalszych etapach procesu (barwienie i kompletacja z oceną jakości).</w:t>
      </w:r>
    </w:p>
    <w:p w14:paraId="051F6E6A" w14:textId="205DD24A" w:rsidR="009E4757" w:rsidRPr="00F04478" w:rsidRDefault="009E4757" w:rsidP="00F04478">
      <w:pPr>
        <w:pStyle w:val="Akapitzlist"/>
        <w:numPr>
          <w:ilvl w:val="3"/>
          <w:numId w:val="13"/>
        </w:numPr>
        <w:spacing w:line="360" w:lineRule="auto"/>
        <w:ind w:left="1843"/>
        <w:jc w:val="both"/>
        <w:rPr>
          <w:rFonts w:ascii="Verdana" w:hAnsi="Verdana" w:cs="Times New Roman"/>
          <w:sz w:val="16"/>
          <w:szCs w:val="16"/>
        </w:rPr>
      </w:pPr>
      <w:r w:rsidRPr="00F04478">
        <w:rPr>
          <w:rFonts w:ascii="Verdana" w:hAnsi="Verdana" w:cs="Times New Roman"/>
          <w:sz w:val="16"/>
          <w:szCs w:val="16"/>
        </w:rPr>
        <w:t>Sygnalizacja dźwiękowa, jeżeli uwaga dot. krojenia jest wpisana.</w:t>
      </w:r>
    </w:p>
    <w:p w14:paraId="21DB8E3C" w14:textId="3D7758E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Sortowanie listy roboczej wg trybu przyjęcia i projektu. Oznaczanie trybów przyjęcia i projektów konfigurowalnymi kolorami oraz przyznawanie trybom przyjęcia i projektom priorytetu sortowania.</w:t>
      </w:r>
    </w:p>
    <w:p w14:paraId="7EEC5056" w14:textId="077DDA5B"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automatycznej archiwizacji bloczków po skrojeniu poprzez skan kodu zasobnika archiwum przed rozpoczęciem krojenia.</w:t>
      </w:r>
    </w:p>
    <w:p w14:paraId="4AD2EA74" w14:textId="215FFD5E"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ponownego wydruku preparatu (w przypadku nieudanego wydruku lub uszkodzenia szkiełka) z odnotowaniem liczby wydruków. Możliwość szybkiego dodania kolejnego preparatu wskazanego typu do bloczka, w którego kontekście znajduje się użytkownik.</w:t>
      </w:r>
    </w:p>
    <w:p w14:paraId="18793DAF" w14:textId="2F93760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Stanowisko kompletacji preparatów po barwieniu</w:t>
      </w:r>
    </w:p>
    <w:p w14:paraId="2129A50B" w14:textId="55AD49DF" w:rsidR="00805DEB"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hurtowego przekazywania przypadków diagnozującemu.</w:t>
      </w:r>
    </w:p>
    <w:p w14:paraId="7BF3DE62" w14:textId="35588D18"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Dwa warianty pracy:</w:t>
      </w:r>
    </w:p>
    <w:p w14:paraId="55A748C4" w14:textId="2F01434C" w:rsidR="009E4757" w:rsidRPr="00F04478" w:rsidRDefault="009E4757" w:rsidP="00F04478">
      <w:pPr>
        <w:pStyle w:val="Akapitzlist"/>
        <w:numPr>
          <w:ilvl w:val="3"/>
          <w:numId w:val="13"/>
        </w:numPr>
        <w:spacing w:line="360" w:lineRule="auto"/>
        <w:ind w:left="1843"/>
        <w:jc w:val="both"/>
        <w:rPr>
          <w:rFonts w:ascii="Verdana" w:hAnsi="Verdana" w:cs="Times New Roman"/>
          <w:sz w:val="16"/>
          <w:szCs w:val="16"/>
        </w:rPr>
      </w:pPr>
      <w:r w:rsidRPr="00F04478">
        <w:rPr>
          <w:rFonts w:ascii="Verdana" w:hAnsi="Verdana" w:cs="Times New Roman"/>
          <w:sz w:val="16"/>
          <w:szCs w:val="16"/>
        </w:rPr>
        <w:t>Kompletacja pokazująca na ekranie po odczytaniu pierwszego szkiełka wszystkie szkiełka z przypadku (listę) i „odznaczająca” kolejno odczytywane szkiełka do przekazania oceniającemu.</w:t>
      </w:r>
    </w:p>
    <w:p w14:paraId="0D9F6817" w14:textId="3CB04E78" w:rsidR="009E4757" w:rsidRPr="00F04478" w:rsidRDefault="009E4757" w:rsidP="00F04478">
      <w:pPr>
        <w:pStyle w:val="Akapitzlist"/>
        <w:numPr>
          <w:ilvl w:val="3"/>
          <w:numId w:val="13"/>
        </w:numPr>
        <w:spacing w:line="360" w:lineRule="auto"/>
        <w:ind w:left="1843"/>
        <w:jc w:val="both"/>
        <w:rPr>
          <w:rFonts w:ascii="Verdana" w:hAnsi="Verdana" w:cs="Times New Roman"/>
          <w:sz w:val="16"/>
          <w:szCs w:val="16"/>
        </w:rPr>
      </w:pPr>
      <w:r w:rsidRPr="00F04478">
        <w:rPr>
          <w:rFonts w:ascii="Verdana" w:hAnsi="Verdana" w:cs="Times New Roman"/>
          <w:sz w:val="16"/>
          <w:szCs w:val="16"/>
        </w:rPr>
        <w:t>Kompletacja sortująca odczytywane preparaty na „zasobniki”/„teczki”. Sygnalizacja kompletności przypadków po umieszczeniu ostatniego brakującego preparatu w „zasobniku”.</w:t>
      </w:r>
    </w:p>
    <w:p w14:paraId="3768E883" w14:textId="1D9E7CA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Komunikaty głosowe informujące użytkownika, na które pole powinien odłożyć kompletowany preparat podczas kompletacji na „zasobniki”.</w:t>
      </w:r>
    </w:p>
    <w:p w14:paraId="4EACBF3B" w14:textId="479728E6"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kompletacji na tzw. „stertę” – tymczasowe oznaczenie przypadków jako skompletowanych bez wskazywania osoby odpowiedzialnej, do późniejszego rozdziału na osoby oceniające za pomocą cesji przypadku.</w:t>
      </w:r>
    </w:p>
    <w:p w14:paraId="625ACA8B" w14:textId="6E2DEC8D"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Podpowiedź lekarza diagnozującego, na podstawie informacji o lekarzu przypisanym do materiału na etapie pobierania wycinków, z zachowaniem możliwości korekty, poprzez ręczny wybór lekarza diagnozującego - lista/kafelek.</w:t>
      </w:r>
    </w:p>
    <w:p w14:paraId="7D6D0A5C" w14:textId="0C890120"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szybkiego potwierdzenia kompletacji poprzez zeskanowanie skierowania z weryfikacją posiadania preparatów i skierowania z jednego przypadku.</w:t>
      </w:r>
    </w:p>
    <w:p w14:paraId="5B337164" w14:textId="0FCDE6C7"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Dedykowany ekran hurtowej cesji przypadków pozwalający na hurtowe przekazanie przypadków ze „sterty” wybranemu diagnozującemu poprzez zeskanowanie skierowania. Możliwość hurtowego przekazania przypadków między diagnozującymi.</w:t>
      </w:r>
    </w:p>
    <w:p w14:paraId="5F9200D6" w14:textId="2D3FF6D5"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Dedykowany ekran hurtowej cesji przypadków w pełni cyfrowych – bez papierowego skierowania i z preparatami w formie skanów.</w:t>
      </w:r>
    </w:p>
    <w:p w14:paraId="7F370714" w14:textId="7A020D2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zdefiniowania w systemie oddzielnych stanowisk kompletowania, dla osobnych pracowni.</w:t>
      </w:r>
    </w:p>
    <w:p w14:paraId="7D177556" w14:textId="3B82538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Stanowisko diagnozy (wpisywania rozpoznań)</w:t>
      </w:r>
    </w:p>
    <w:p w14:paraId="07FD53D0" w14:textId="0C024582"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lastRenderedPageBreak/>
        <w:t xml:space="preserve">Lista robocza z informacją o gotowych przypadkach w następujących statusach: </w:t>
      </w:r>
    </w:p>
    <w:p w14:paraId="1C8517E0" w14:textId="19845D3E" w:rsidR="009E4757" w:rsidRPr="00F04478" w:rsidRDefault="009E4757" w:rsidP="00F04478">
      <w:pPr>
        <w:pStyle w:val="Akapitzlist"/>
        <w:numPr>
          <w:ilvl w:val="3"/>
          <w:numId w:val="13"/>
        </w:numPr>
        <w:spacing w:line="360" w:lineRule="auto"/>
        <w:jc w:val="both"/>
        <w:rPr>
          <w:rFonts w:ascii="Verdana" w:hAnsi="Verdana" w:cs="Times New Roman"/>
          <w:sz w:val="16"/>
          <w:szCs w:val="16"/>
        </w:rPr>
      </w:pPr>
      <w:bookmarkStart w:id="9" w:name="_Ref171595456"/>
      <w:r w:rsidRPr="00F04478">
        <w:rPr>
          <w:rFonts w:ascii="Verdana" w:hAnsi="Verdana" w:cs="Times New Roman"/>
          <w:sz w:val="16"/>
          <w:szCs w:val="16"/>
        </w:rPr>
        <w:t>przypadki „nowe” do diagnozowania,</w:t>
      </w:r>
      <w:bookmarkEnd w:id="9"/>
    </w:p>
    <w:p w14:paraId="38F1A087" w14:textId="7F9A8D62"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w statusie do weryfikacji,</w:t>
      </w:r>
    </w:p>
    <w:p w14:paraId="28A81EB4" w14:textId="47AED012"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w statusie wyniku wstępnego,</w:t>
      </w:r>
    </w:p>
    <w:p w14:paraId="54AEBA0E" w14:textId="5035476C"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z oczekującymi zleceniami barwień dodatkowych i II rzutu (dobieranych z naczynia z materiałem),</w:t>
      </w:r>
    </w:p>
    <w:p w14:paraId="4E247CAF" w14:textId="6B826900"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 xml:space="preserve">przypadki z wykonanymi zleceniami barwień dodatkowych i II rzutu, </w:t>
      </w:r>
    </w:p>
    <w:p w14:paraId="68D017FE" w14:textId="30192DD9"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przekazane do konsultacji przez innego diagnozującego,</w:t>
      </w:r>
    </w:p>
    <w:p w14:paraId="123563FC" w14:textId="61BD9E17"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do skonsultowania od innych diagnozujących,</w:t>
      </w:r>
    </w:p>
    <w:p w14:paraId="254985ED" w14:textId="176D57B2"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przekazane do kontrasygnaty nowotworu złośliwego,</w:t>
      </w:r>
    </w:p>
    <w:p w14:paraId="10A3A49A" w14:textId="773E0030"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do kontrasygnowania nowotworu złośliwego,</w:t>
      </w:r>
    </w:p>
    <w:p w14:paraId="70EE50B4" w14:textId="6E26ABA2"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z oczekującymi zleceniami badań do innej jednostki organizacyjnej,</w:t>
      </w:r>
    </w:p>
    <w:p w14:paraId="019B0267" w14:textId="6E989A7C"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 xml:space="preserve">przypadki z wykonanymi badaniami w innej jednostce organizacyjnej, </w:t>
      </w:r>
    </w:p>
    <w:p w14:paraId="32B7EA62" w14:textId="4E2EEE53"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przypadki w statusie wyniku ostatecznego do podpisu elektronicznego.</w:t>
      </w:r>
      <w:r w:rsidR="00946B5F" w:rsidRPr="00F04478">
        <w:rPr>
          <w:rFonts w:ascii="Verdana" w:hAnsi="Verdana" w:cs="Times New Roman"/>
          <w:sz w:val="16"/>
          <w:szCs w:val="16"/>
        </w:rPr>
        <w:br/>
        <w:t>Na liście roboczej powinny być widoczne graficzne oznaczenia otwartych i zakończonych zleceń w danym przypadku. Powinna być zapewniona możliwość szybkiego podejrzenia wpisanych rozpoznań (w tym rozpoznań klinicznych) z danych przypadków (np. w „dymku”) bez opuszczania listy roboczej.</w:t>
      </w:r>
    </w:p>
    <w:p w14:paraId="37A38D7F" w14:textId="602ED00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Sortowanie listy roboczej wg trybu przyjęcia, projektu i oczekiwanej daty wyniku obliczanej w systemie na podstawie rozbudowanych reguł terminowości. </w:t>
      </w:r>
    </w:p>
    <w:p w14:paraId="187814C2" w14:textId="717EF1E4"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Filtrowanie listy roboczej względem jednostki organizacyjnej, czy przypadek posiada skany preparatów lub jest w pełni cyfrowy (Digital </w:t>
      </w:r>
      <w:proofErr w:type="spellStart"/>
      <w:r w:rsidRPr="00F04478">
        <w:rPr>
          <w:rFonts w:ascii="Verdana" w:hAnsi="Verdana" w:cs="Times New Roman"/>
          <w:sz w:val="16"/>
          <w:szCs w:val="16"/>
        </w:rPr>
        <w:t>Pathology</w:t>
      </w:r>
      <w:proofErr w:type="spellEnd"/>
      <w:r w:rsidRPr="00F04478">
        <w:rPr>
          <w:rFonts w:ascii="Verdana" w:hAnsi="Verdana" w:cs="Times New Roman"/>
          <w:sz w:val="16"/>
          <w:szCs w:val="16"/>
        </w:rPr>
        <w:t>).</w:t>
      </w:r>
    </w:p>
    <w:p w14:paraId="51C1253A" w14:textId="516A23B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przekierowania przypadku wraz z preparatami do innego lekarza opisującego (cesja przypadku).</w:t>
      </w:r>
    </w:p>
    <w:p w14:paraId="79BDF83C" w14:textId="2DF7502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Wybór przypadku przez odczytanie kodu kreskowego lub wpisanie numeru z dowolnego obiektu należącego do przypadku (m.in. skierowanie, preparat, bloczek) powodujące automatyczne przeniesienie kontekstu interfejsu użytkownika do: tego obiektu lub danych przypadku, lub treści rozpoznania (zależnie od preferencji użytkownika).</w:t>
      </w:r>
    </w:p>
    <w:p w14:paraId="07E911A8" w14:textId="6F3DDF3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Dodawanie, edycja, usuwanie rozpoznań do badań w przypadku.</w:t>
      </w:r>
    </w:p>
    <w:p w14:paraId="13571740" w14:textId="691A12F1"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Możliwość </w:t>
      </w:r>
      <w:r w:rsidR="004B45DF" w:rsidRPr="00F04478">
        <w:rPr>
          <w:rFonts w:ascii="Verdana" w:hAnsi="Verdana" w:cs="Times New Roman"/>
          <w:sz w:val="16"/>
          <w:szCs w:val="16"/>
        </w:rPr>
        <w:t>trzy</w:t>
      </w:r>
      <w:r w:rsidRPr="00F04478">
        <w:rPr>
          <w:rFonts w:ascii="Verdana" w:hAnsi="Verdana" w:cs="Times New Roman"/>
          <w:sz w:val="16"/>
          <w:szCs w:val="16"/>
        </w:rPr>
        <w:t>etapowego zatwierdzania wyniku np.: „do weryfikacji”, „wynik wstępny”, „wynik ostateczny”.</w:t>
      </w:r>
    </w:p>
    <w:p w14:paraId="50191CD9" w14:textId="1F70759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Szablony rozpoznań wg określonych protokołów pozwalające m.in. na tworzenie raportów synoptycznych. Możliwość tworzenia dodatkowych pól raportu, które następnie przekładają się na zdefiniowane teksty na wydruku rozpoznania. Raporty powinny móc zawierać typy pól: wyboru (</w:t>
      </w:r>
      <w:proofErr w:type="spellStart"/>
      <w:r w:rsidRPr="00F04478">
        <w:rPr>
          <w:rFonts w:ascii="Verdana" w:hAnsi="Verdana" w:cs="Times New Roman"/>
          <w:sz w:val="16"/>
          <w:szCs w:val="16"/>
        </w:rPr>
        <w:t>checkbox</w:t>
      </w:r>
      <w:proofErr w:type="spellEnd"/>
      <w:r w:rsidRPr="00F04478">
        <w:rPr>
          <w:rFonts w:ascii="Verdana" w:hAnsi="Verdana" w:cs="Times New Roman"/>
          <w:sz w:val="16"/>
          <w:szCs w:val="16"/>
        </w:rPr>
        <w:t>), słownikowe, numeryczne (z określoną precyzją po przecinku), tekstowe, daty/czasu, ukrywane/pokazywane w zależności od pozostałych pól i ich kombinacji, obliczane automatycznie na podstawie innych pól i ich kombinacji. Funkcjonalność raportów synoptycznych wbudowana w oferowane rozwiązanie, bez konieczności</w:t>
      </w:r>
      <w:r w:rsidR="00223572" w:rsidRPr="00F04478">
        <w:rPr>
          <w:rFonts w:ascii="Verdana" w:hAnsi="Verdana" w:cs="Times New Roman"/>
          <w:sz w:val="16"/>
          <w:szCs w:val="16"/>
        </w:rPr>
        <w:t xml:space="preserve"> </w:t>
      </w:r>
      <w:r w:rsidRPr="00F04478">
        <w:rPr>
          <w:rFonts w:ascii="Verdana" w:hAnsi="Verdana" w:cs="Times New Roman"/>
          <w:sz w:val="16"/>
          <w:szCs w:val="16"/>
        </w:rPr>
        <w:t>dokupowania/wykorzystania dodatkowych modułów lub aplikacji (w tym zintegrowanych).</w:t>
      </w:r>
    </w:p>
    <w:p w14:paraId="67E6E7BA" w14:textId="1D784691"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klasyfikacji rozpoznań według kodów ICD-10,</w:t>
      </w:r>
      <w:r w:rsidR="00F91A16" w:rsidRPr="00F04478">
        <w:rPr>
          <w:rFonts w:ascii="Verdana" w:hAnsi="Verdana" w:cs="Times New Roman"/>
          <w:sz w:val="16"/>
          <w:szCs w:val="16"/>
        </w:rPr>
        <w:t xml:space="preserve"> </w:t>
      </w:r>
      <w:r w:rsidRPr="00F04478">
        <w:rPr>
          <w:rFonts w:ascii="Verdana" w:hAnsi="Verdana" w:cs="Times New Roman"/>
          <w:sz w:val="16"/>
          <w:szCs w:val="16"/>
        </w:rPr>
        <w:t>ICD-O3, ORPHA itp. Wymagana implementacja w systemie słowników ICD-10 i ICD-O3 w polskiej wersji językowej. Możliwość dodawania wielu rozpoznań z tej samej klasyfikacji do jednego rozpoznania.</w:t>
      </w:r>
    </w:p>
    <w:p w14:paraId="2054C980" w14:textId="20C8307D"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Możliwość podania wartości </w:t>
      </w:r>
      <w:proofErr w:type="spellStart"/>
      <w:r w:rsidRPr="00F04478">
        <w:rPr>
          <w:rFonts w:ascii="Verdana" w:hAnsi="Verdana" w:cs="Times New Roman"/>
          <w:sz w:val="16"/>
          <w:szCs w:val="16"/>
        </w:rPr>
        <w:t>pTNM</w:t>
      </w:r>
      <w:proofErr w:type="spellEnd"/>
      <w:r w:rsidRPr="00F04478">
        <w:rPr>
          <w:rFonts w:ascii="Verdana" w:hAnsi="Verdana" w:cs="Times New Roman"/>
          <w:sz w:val="16"/>
          <w:szCs w:val="16"/>
        </w:rPr>
        <w:t>.</w:t>
      </w:r>
    </w:p>
    <w:p w14:paraId="6FC301CC" w14:textId="095F54D1"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 przypadku rozpoznań śródoperacyjnych możliwość zapisania w dedykowanych polach: daty i godziny przekazania wyniku, komu przekazano wynik oraz w jaki sposób (kanał komunikacji).</w:t>
      </w:r>
    </w:p>
    <w:p w14:paraId="2728E832" w14:textId="29526D4D"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wiązania stawianego rozpoznania z dokładnością do pojedynczej procedury (np. bloczka parafinowego</w:t>
      </w:r>
      <w:r w:rsidR="00D11B4F" w:rsidRPr="00F04478">
        <w:rPr>
          <w:rFonts w:ascii="Verdana" w:hAnsi="Verdana" w:cs="Times New Roman"/>
          <w:sz w:val="16"/>
          <w:szCs w:val="16"/>
        </w:rPr>
        <w:t xml:space="preserve"> czy preparatu</w:t>
      </w:r>
      <w:r w:rsidRPr="00F04478">
        <w:rPr>
          <w:rFonts w:ascii="Verdana" w:hAnsi="Verdana" w:cs="Times New Roman"/>
          <w:sz w:val="16"/>
          <w:szCs w:val="16"/>
        </w:rPr>
        <w:t>) w przypadku, całego przypadku lub dowolnej kombinacji składowych procedur. Hurtowe wiązanie pojedynczego rozpoznania ze wszystkimi procedurami składowymi.</w:t>
      </w:r>
    </w:p>
    <w:p w14:paraId="67608E05" w14:textId="5F030A0D"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lastRenderedPageBreak/>
        <w:t>Możliwość kontrasygnaty ze wskazaniem preferowanego drugiego diagnozującego lub konsultującego. Badanie przeznaczone do oceny przez drugą osobę pojawia się na liście roboczej wskazanego użytkownika.</w:t>
      </w:r>
    </w:p>
    <w:p w14:paraId="7E353712" w14:textId="371390E6"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Dostępne formularze dla rozpoznań cytologii ginekologicznej wg systemu Bethesda 2001 i 2014 (zarówno w wersji NFZ - SIMP jak i standardowej). Możliwość równoległego korzystania z różnych standardów klasyfikacji.  Rozpoznawanie i wyróżnienie wyników pozytywnych. Możliwość wpisywania wyników w wersji graficznej (poprzez formularz z polami wyboru) lub tekstowej (kodami i skrótami) z weryfikacją poprawności rozpoznania.</w:t>
      </w:r>
    </w:p>
    <w:p w14:paraId="5A8EA4E6" w14:textId="69123A4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Dostępne formularze dla rozpoznań cytologii wg systemu </w:t>
      </w:r>
      <w:proofErr w:type="spellStart"/>
      <w:r w:rsidRPr="00F04478">
        <w:rPr>
          <w:rFonts w:ascii="Verdana" w:hAnsi="Verdana" w:cs="Times New Roman"/>
          <w:sz w:val="16"/>
          <w:szCs w:val="16"/>
        </w:rPr>
        <w:t>Milano</w:t>
      </w:r>
      <w:proofErr w:type="spellEnd"/>
      <w:r w:rsidRPr="00F04478">
        <w:rPr>
          <w:rFonts w:ascii="Verdana" w:hAnsi="Verdana" w:cs="Times New Roman"/>
          <w:sz w:val="16"/>
          <w:szCs w:val="16"/>
        </w:rPr>
        <w:t xml:space="preserve"> (cytologia ślinianki), Bethesda (cytologia tarczycy) oraz klasyfikacji Paryskiej (cytologia moczu).</w:t>
      </w:r>
    </w:p>
    <w:p w14:paraId="2D58F308" w14:textId="06FF1D6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Zatwierdzanie i podpisywanie plików PDF z rozpoznaniem (wynikiem) podpisem elektronicznym (wbudowanym w plik PDF). Możliwość podpisania podpisem elektronicznym wyników wstępnych i ostatecznych.</w:t>
      </w:r>
    </w:p>
    <w:p w14:paraId="48704DD3" w14:textId="154E5119"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Zabezpieczenie przed podpisaniem podpisem innym niż zapamiętany w profilu użytkownika. Możliwość wyłączenia możliwości złożenia podpisu przez inną osobę niż odpowiedzialna za przypadek lub możliwość złożenia takiego podpisu z powiadomieniem kierownika o wystąpieniu takiej sytuacji.</w:t>
      </w:r>
    </w:p>
    <w:p w14:paraId="17668247" w14:textId="65F9643E"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Szablony rozpoznań danego użytkownika oraz globalne (dostępne dla wszystkich użytkowników z danej jednostki organizacyjnej) dodawane każdorazowo do treści poprzez wybór z listy oraz automatycznie poprzez wpisanie słowa kluczowego w trakcie tworzenia rozpoznania.</w:t>
      </w:r>
    </w:p>
    <w:p w14:paraId="52A0A37A" w14:textId="683A3D3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Automatyczne fragmenty rozpoznań dodawane poprzez wpisanie słowa kluczowego w trakcie tworzenia rozpoznania, których treść jest dynamicznie zależna od danego przypadku, m.in. lista lokalizacji anatomicznych, lista typów preparatów immunohistochemicznych, które wystąpiły w przypadku.</w:t>
      </w:r>
    </w:p>
    <w:p w14:paraId="77AC564F" w14:textId="3DFF8B52"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zablokowania cofnięcia zatwierdzenia wyniku przypadku i/lub możliwość cofnięcia zatwierdzonego przypadku do trybu edycji tylko przez określony czas. Po upływie tego czasu cofnięcie może być wykonane tylko przez kierownika lub administratora.</w:t>
      </w:r>
    </w:p>
    <w:p w14:paraId="2978107C" w14:textId="5BF96F1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łatwego podejrzenia i skopiowania obrazu makroskopowego oraz danych z poprzednich badań danego pacjenta bez opuszczania ekranu tworzonego lub edytowanego rozpoznania.</w:t>
      </w:r>
    </w:p>
    <w:p w14:paraId="7E1D1B37" w14:textId="263169B1"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Zabezpieczenie przed utratą wpisywanego opisu makroskopowego lub rozpoznania poprzez automatyczne, cykliczne zachowanie jego kopii zapasowej, np. na wypadek utraty zasilania lub łączności z serwerem. Treści rozpoznań i dane osobowe nie mogą być przechowywane na stacji roboczej użytkownika.</w:t>
      </w:r>
    </w:p>
    <w:p w14:paraId="3DAA19B2" w14:textId="2CBB2A05"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Komunikacja między diagnozującymi na zasadzie automatycznie odświeżającego się „czatu” w obrębie danego przypadku, z powiadomieniem na liście roboczej diagnozującego o nieprzeczytanym nowym wpisie w kontekście przypadku.</w:t>
      </w:r>
    </w:p>
    <w:p w14:paraId="41A8A04C" w14:textId="36C2A73E"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Możliwość oznaczania statusu zgodności rozpoznań konsultacyjnych, zgodności rozpoznania </w:t>
      </w:r>
      <w:proofErr w:type="spellStart"/>
      <w:r w:rsidRPr="00F04478">
        <w:rPr>
          <w:rFonts w:ascii="Verdana" w:hAnsi="Verdana" w:cs="Times New Roman"/>
          <w:sz w:val="16"/>
          <w:szCs w:val="16"/>
        </w:rPr>
        <w:t>pointrowego</w:t>
      </w:r>
      <w:proofErr w:type="spellEnd"/>
      <w:r w:rsidRPr="00F04478">
        <w:rPr>
          <w:rFonts w:ascii="Verdana" w:hAnsi="Verdana" w:cs="Times New Roman"/>
          <w:sz w:val="16"/>
          <w:szCs w:val="16"/>
        </w:rPr>
        <w:t xml:space="preserve">/pooperacyjnego z rozpoznaniem </w:t>
      </w:r>
      <w:proofErr w:type="spellStart"/>
      <w:r w:rsidRPr="00F04478">
        <w:rPr>
          <w:rFonts w:ascii="Verdana" w:hAnsi="Verdana" w:cs="Times New Roman"/>
          <w:sz w:val="16"/>
          <w:szCs w:val="16"/>
        </w:rPr>
        <w:t>introwym</w:t>
      </w:r>
      <w:proofErr w:type="spellEnd"/>
      <w:r w:rsidRPr="00F04478">
        <w:rPr>
          <w:rFonts w:ascii="Verdana" w:hAnsi="Verdana" w:cs="Times New Roman"/>
          <w:sz w:val="16"/>
          <w:szCs w:val="16"/>
        </w:rPr>
        <w:t xml:space="preserve"> w celu umożliwienia sporządzania statystyk.</w:t>
      </w:r>
    </w:p>
    <w:p w14:paraId="7D1A6D41" w14:textId="0C3FF42B"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Określanie korelacji (zgodności) rozpoznań z wcześniejszymi wynikami z automatyczną integracją z funkcjonalnością kontroli jakości i raportami. Możliwość wymuszenia określenia korelacji (zgodności rozpoznań) dla zdefiniowanych typów badań.</w:t>
      </w:r>
    </w:p>
    <w:p w14:paraId="2159E3EE" w14:textId="0E50D854" w:rsidR="00D76B9C"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Blokada edycji rozpoznań w zatwierdzonych (i/lub podpisanych) wcześniej przypadkach/wynikach z możliwością wielokrotnego dodania uzupełnienia wyniku.</w:t>
      </w:r>
    </w:p>
    <w:p w14:paraId="625C1A2B" w14:textId="1AD0583E" w:rsidR="009E4757" w:rsidRPr="00F04478" w:rsidRDefault="009E4757" w:rsidP="00F04478">
      <w:pPr>
        <w:pStyle w:val="Akapitzlist"/>
        <w:numPr>
          <w:ilvl w:val="1"/>
          <w:numId w:val="13"/>
        </w:numPr>
        <w:spacing w:line="360" w:lineRule="auto"/>
        <w:ind w:left="567"/>
        <w:rPr>
          <w:rFonts w:ascii="Verdana" w:hAnsi="Verdana" w:cs="Times New Roman"/>
          <w:sz w:val="16"/>
          <w:szCs w:val="16"/>
        </w:rPr>
      </w:pPr>
      <w:r w:rsidRPr="00F04478">
        <w:rPr>
          <w:rFonts w:ascii="Verdana" w:hAnsi="Verdana" w:cs="Times New Roman"/>
          <w:sz w:val="16"/>
          <w:szCs w:val="16"/>
        </w:rPr>
        <w:t>Stanowisko wyszukiwania i wydawania wyników (sekretariat)</w:t>
      </w:r>
    </w:p>
    <w:p w14:paraId="0264E194" w14:textId="2A3B0716"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Wyszukiwanie przypadków po danych określonych w</w:t>
      </w:r>
      <w:r w:rsidR="00A60D60" w:rsidRPr="00F04478">
        <w:rPr>
          <w:rFonts w:ascii="Verdana" w:hAnsi="Verdana" w:cs="Times New Roman"/>
          <w:sz w:val="16"/>
          <w:szCs w:val="16"/>
        </w:rPr>
        <w:t xml:space="preserve"> punkcie</w:t>
      </w:r>
      <w:r w:rsidR="00D76B9C" w:rsidRPr="00F04478">
        <w:rPr>
          <w:rFonts w:ascii="Verdana" w:hAnsi="Verdana" w:cs="Times New Roman"/>
          <w:sz w:val="16"/>
          <w:szCs w:val="16"/>
        </w:rPr>
        <w:t xml:space="preserve"> </w:t>
      </w:r>
      <w:r w:rsidR="00D76B9C" w:rsidRPr="00F04478">
        <w:rPr>
          <w:rFonts w:ascii="Verdana" w:hAnsi="Verdana" w:cs="Times New Roman"/>
          <w:sz w:val="16"/>
          <w:szCs w:val="16"/>
        </w:rPr>
        <w:fldChar w:fldCharType="begin"/>
      </w:r>
      <w:r w:rsidR="00D76B9C" w:rsidRPr="00F04478">
        <w:rPr>
          <w:rFonts w:ascii="Verdana" w:hAnsi="Verdana" w:cs="Times New Roman"/>
          <w:sz w:val="16"/>
          <w:szCs w:val="16"/>
        </w:rPr>
        <w:instrText xml:space="preserve"> REF _Ref171595966 \r \h  \* MERGEFORMAT </w:instrText>
      </w:r>
      <w:r w:rsidR="00D76B9C" w:rsidRPr="00F04478">
        <w:rPr>
          <w:rFonts w:ascii="Verdana" w:hAnsi="Verdana" w:cs="Times New Roman"/>
          <w:sz w:val="16"/>
          <w:szCs w:val="16"/>
        </w:rPr>
      </w:r>
      <w:r w:rsidR="00D76B9C" w:rsidRPr="00F04478">
        <w:rPr>
          <w:rFonts w:ascii="Verdana" w:hAnsi="Verdana" w:cs="Times New Roman"/>
          <w:sz w:val="16"/>
          <w:szCs w:val="16"/>
        </w:rPr>
        <w:fldChar w:fldCharType="separate"/>
      </w:r>
      <w:r w:rsidR="00D76B9C" w:rsidRPr="00F04478">
        <w:rPr>
          <w:rFonts w:ascii="Verdana" w:hAnsi="Verdana" w:cs="Times New Roman"/>
          <w:sz w:val="16"/>
          <w:szCs w:val="16"/>
        </w:rPr>
        <w:t>2.1</w:t>
      </w:r>
      <w:r w:rsidR="00D76B9C" w:rsidRPr="00F04478">
        <w:rPr>
          <w:rFonts w:ascii="Verdana" w:hAnsi="Verdana" w:cs="Times New Roman"/>
          <w:sz w:val="16"/>
          <w:szCs w:val="16"/>
        </w:rPr>
        <w:fldChar w:fldCharType="end"/>
      </w:r>
    </w:p>
    <w:p w14:paraId="6E748F50" w14:textId="3296DEB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Prezentacja tabelarycznej listy wyszukanych przypadków spełniających kryteria.</w:t>
      </w:r>
    </w:p>
    <w:p w14:paraId="606ACBD3" w14:textId="7C091456"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lastRenderedPageBreak/>
        <w:t>Możliwość wydruku wersji papierowej wyniku. Liczba wydrukowanych kopii zgodna z preferencjami użytkownika i konfiguracją w kontekście zlecającego.</w:t>
      </w:r>
    </w:p>
    <w:p w14:paraId="7C1A37A3" w14:textId="26CAA7C5"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podglądu wyniku oraz pobrania wersji PDF przez uprawnionego użytkownika.  Możliwość zabezpieczenia pliku PDF przed edycją po otworzeniu go np. w Microsoft Word.</w:t>
      </w:r>
    </w:p>
    <w:p w14:paraId="14D56E31" w14:textId="58533914"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wyboru kryteriów i wydruku wybranych wyników.</w:t>
      </w:r>
    </w:p>
    <w:p w14:paraId="5AF0F895" w14:textId="1F27F374"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hurtowego wydruku wyników przypadków spełniających kryteria wyszukiwania. Liczba wydrukowanych kopii zgodna z preferencjami użytkownika i konfiguracją w kontekście zlecającego.</w:t>
      </w:r>
    </w:p>
    <w:p w14:paraId="697D6177" w14:textId="1748CD2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Wydruk etykiet adresowych na koperty z wynikami oraz na przypadki konsultacyjne (zwrot wykorzystanego materiału diagnostycznego). Możliwość skonfigurowania adresów niezależnych od zlecającego, właściwych dla pojedynczego przypadku. Możliwość skonfigurowania dowolnej liczby adresów wysyłkowych w jednym przypadku.</w:t>
      </w:r>
    </w:p>
    <w:p w14:paraId="0A10FD4E" w14:textId="0CE220D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Wydruk etykiet adresowych na koperty z fakturami dla kontrahentów za wykonane badania.</w:t>
      </w:r>
    </w:p>
    <w:p w14:paraId="48D26277" w14:textId="3C7EA52B"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Dedykowany ekran pozwalający na oznaczenie wyniku jako wydanego poprzez jego zeskanowanie czytnikiem kodów. Kod kreskowy na wyniku musi określać jednocześnie wersję wyniku, a podczas jego wydawania system musi weryfikować, czy wynik wydawany jest w aktualnej wersji.</w:t>
      </w:r>
    </w:p>
    <w:p w14:paraId="4A1853DC" w14:textId="7C7E2A2E"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Dedykowany ekran pozwalający na wpisanie wyniku na listę do pokwitowania. Zamknięcie listy wyników oznacza je jako wydane i pozwala na wydruk listy do pokwitowania z miejscem na podpis osoby odbierającej wyniki.  Kod kreskowy na wyniku musi określać jednocześnie wersję wyniku, a podczas jego wydawania system musi weryfikować, czy wynik wydawany jest w aktualnej wersji.</w:t>
      </w:r>
    </w:p>
    <w:p w14:paraId="56E1C643" w14:textId="55AAC82D"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Dedykowany ekran wydruku kart informacyjnych przypadku. Filtrowanie listy wg kryteriów daty dodania badania, lokalizacji. Sortowanie po numerze przypadku lub dacie dodania badania.</w:t>
      </w:r>
      <w:r w:rsidR="000C1B21" w:rsidRPr="00F04478">
        <w:rPr>
          <w:rFonts w:ascii="Verdana" w:hAnsi="Verdana" w:cs="Times New Roman"/>
          <w:sz w:val="16"/>
          <w:szCs w:val="16"/>
        </w:rPr>
        <w:t xml:space="preserve"> </w:t>
      </w:r>
      <w:r w:rsidRPr="00F04478">
        <w:rPr>
          <w:rFonts w:ascii="Verdana" w:hAnsi="Verdana" w:cs="Times New Roman"/>
          <w:sz w:val="16"/>
          <w:szCs w:val="16"/>
        </w:rPr>
        <w:t>Możliwość hurtowego lub pojedynczego wydruku kart informacyjnych przypadków z prezentowanej listy.</w:t>
      </w:r>
    </w:p>
    <w:p w14:paraId="2E7FD627" w14:textId="2E8FF804" w:rsidR="009E4757" w:rsidRPr="00F04478" w:rsidRDefault="009E4757" w:rsidP="00F04478">
      <w:pPr>
        <w:pStyle w:val="Akapitzlist"/>
        <w:numPr>
          <w:ilvl w:val="1"/>
          <w:numId w:val="13"/>
        </w:numPr>
        <w:spacing w:line="360" w:lineRule="auto"/>
        <w:ind w:left="567"/>
        <w:rPr>
          <w:rFonts w:ascii="Verdana" w:hAnsi="Verdana" w:cs="Times New Roman"/>
          <w:sz w:val="16"/>
          <w:szCs w:val="16"/>
        </w:rPr>
      </w:pPr>
      <w:r w:rsidRPr="00F04478">
        <w:rPr>
          <w:rFonts w:ascii="Verdana" w:hAnsi="Verdana" w:cs="Times New Roman"/>
          <w:sz w:val="16"/>
          <w:szCs w:val="16"/>
        </w:rPr>
        <w:t>Stanowisko archiwum</w:t>
      </w:r>
    </w:p>
    <w:p w14:paraId="79475986" w14:textId="296C79D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Obsługa archiwów dla poszczególnych obiektów (skierowanie papierowe, materiał biologiczny, bloczek parafinowy, szkiełko/preparat) i prowadzenie dla nich ewidencji zgodnie z rozporządzeniem Ministra Zdrowia z dnia 18 grudnia</w:t>
      </w:r>
      <w:r w:rsidR="00A748E6" w:rsidRPr="00F04478">
        <w:rPr>
          <w:rFonts w:ascii="Verdana" w:hAnsi="Verdana" w:cs="Times New Roman"/>
          <w:sz w:val="16"/>
          <w:szCs w:val="16"/>
        </w:rPr>
        <w:t xml:space="preserve"> </w:t>
      </w:r>
      <w:r w:rsidRPr="00F04478">
        <w:rPr>
          <w:rFonts w:ascii="Verdana" w:hAnsi="Verdana" w:cs="Times New Roman"/>
          <w:sz w:val="16"/>
          <w:szCs w:val="16"/>
        </w:rPr>
        <w:t>2017 r. (wraz z późniejszymi zmianami) w sprawie standardów organizacyjnych opieki zdrowotnej w dziedzinie patomorfologii.</w:t>
      </w:r>
    </w:p>
    <w:p w14:paraId="41427532" w14:textId="180E189F"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Przypisanie obiektu do lokalizacji w archiwum po zeskanowaniu czytnikiem kodów, w tym hurtowe.</w:t>
      </w:r>
    </w:p>
    <w:p w14:paraId="2D96E166" w14:textId="165ED786"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Lista robocza zleceń wypożyczenia bloczków i preparatów, umożliwiająca podejmowanie zleceń wypożyczeń, potwierdzanie wyjęcia obiektu z archiwum, przekazanie zlecenia wypożyczenia do autoryzacji przez upoważnioną grupę użytkowników i wydawanie wypożyczeń.</w:t>
      </w:r>
    </w:p>
    <w:p w14:paraId="1051BE8E" w14:textId="014418C4"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Obsługa typów wypożyczeń:</w:t>
      </w:r>
    </w:p>
    <w:p w14:paraId="2B07FF6A" w14:textId="7F728A37"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wewnętrznych – na rzecz pracowników zakładu (do przypadków zatwierdzonych i niezatwierdzonych)</w:t>
      </w:r>
    </w:p>
    <w:p w14:paraId="6CDE5754" w14:textId="69041E48"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zewnętrznych – na wniosek osoby/instytucji zewnętrznej (do przypadków zatwierdzonych)</w:t>
      </w:r>
    </w:p>
    <w:p w14:paraId="28C918D8" w14:textId="123AB46A"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do innej jednostki organizacyjnej w obrębie oferowanego systemu (do przypadków zatwierdzonych)</w:t>
      </w:r>
    </w:p>
    <w:p w14:paraId="45CADC87" w14:textId="4FFAAE75"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do zewnętrznej konsultacji – z otwartego przypadku do zewnętrznego ośrodka konsultacyjnego (do przypadków niezatwierdzonych).</w:t>
      </w:r>
    </w:p>
    <w:p w14:paraId="127AFA84" w14:textId="1C92779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Zabezpieczenie przed próbą powtórnego wypożyczenia już wypożyczonego obiektu.</w:t>
      </w:r>
    </w:p>
    <w:p w14:paraId="12E95AC5" w14:textId="5F29A0F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Zabezpieczenie przed próbą rejestracji zlecenia barwienia dodatkowego do bloczka, który jest wypożyczony. Zabezpieczenie przed próbą archiwizacji bloczka, do którego wystawiono zlecenie barwienia dodatkowego.</w:t>
      </w:r>
    </w:p>
    <w:p w14:paraId="2B7C3EB8" w14:textId="77777777" w:rsidR="009D7F90"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Funkcjonalność wypożyczenia i zwrotu preparatu/bloczka z danego przypadku (w tym zwrotu częściowego) z datą wypożyczenia, instytucją, osobą wypożyczającą, celem wypożyczenia oraz wydrukiem wniosku i możliwością dołączenia skanu wniosku oraz upoważnienia.</w:t>
      </w:r>
      <w:r w:rsidR="00946B5F" w:rsidRPr="00F04478">
        <w:rPr>
          <w:rFonts w:ascii="Verdana" w:hAnsi="Verdana" w:cs="Times New Roman"/>
          <w:sz w:val="16"/>
          <w:szCs w:val="16"/>
        </w:rPr>
        <w:t xml:space="preserve"> </w:t>
      </w:r>
    </w:p>
    <w:p w14:paraId="05342EC8" w14:textId="680BE5D0"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oznaczenia otrzymania faktury za konsultację z innym ośrodkiem.</w:t>
      </w:r>
    </w:p>
    <w:p w14:paraId="3DF372D7" w14:textId="426790A7"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lastRenderedPageBreak/>
        <w:t>Obsługa archiwum materiałów tkankowych pozostałych po pobraniu. Możliwość zmiany standardowego okresu archiwizacji materiałów tkankowych poprzez wybranie innego profilu utylizacji lub podanie konkretnej daty utylizacji. Prezentacja informacji o zwolnieniu do utylizacji po upływie zdefiniowanego czasu od autoryzacji wyniku.</w:t>
      </w:r>
    </w:p>
    <w:p w14:paraId="3F89872F" w14:textId="27CE1129"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Materiał oznaczony jako wyskrobiny z jamy macicy po poronieniu powinien móc zostać zwolniony z archiwum przed obliczonym terminem utylizacji, np. w przypadku odbioru materiału do pochówku.</w:t>
      </w:r>
    </w:p>
    <w:p w14:paraId="1A13F131" w14:textId="10EFE3BB"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Obsługa zasobników archiwizacji. Zasobniki na archiwizację bloczków, preparatów, skierowań. Każdy zasobnik powinien mieć swój kod możliwy do wydrukowania i odczytania czytnikiem. Każdy zasobnik powinien mieć swoją pojemność, która nie może zostać przekroczona. Każdy zasobnik powinien mieć określone miejsce archiwizacji. Zasobniki wraz z zawartością powinny móc być przenoszone hurtowo w inne miejsce lub do innego archiwum bez konieczności ponownego skanowania obiektów znajdujących się w zasobniku. Różne typy zasobników powinny móc być numerowane zgodnie ze wzorem numeracji właściwym dla danego typu.</w:t>
      </w:r>
    </w:p>
    <w:p w14:paraId="0A18937C" w14:textId="3EF9215F" w:rsidR="009E4757" w:rsidRPr="00F04478" w:rsidRDefault="009E4757" w:rsidP="00F04478">
      <w:pPr>
        <w:pStyle w:val="Akapitzlist"/>
        <w:numPr>
          <w:ilvl w:val="1"/>
          <w:numId w:val="13"/>
        </w:numPr>
        <w:spacing w:line="360" w:lineRule="auto"/>
        <w:ind w:left="567"/>
        <w:rPr>
          <w:rFonts w:ascii="Verdana" w:hAnsi="Verdana" w:cs="Times New Roman"/>
          <w:sz w:val="16"/>
          <w:szCs w:val="16"/>
        </w:rPr>
      </w:pPr>
      <w:r w:rsidRPr="00F04478">
        <w:rPr>
          <w:rFonts w:ascii="Verdana" w:hAnsi="Verdana" w:cs="Times New Roman"/>
          <w:sz w:val="16"/>
          <w:szCs w:val="16"/>
        </w:rPr>
        <w:t>Monitoring zleceń barwień.</w:t>
      </w:r>
    </w:p>
    <w:p w14:paraId="6BDEB5BD" w14:textId="2CA87CFE"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Dedykowany ekran pokazujący liczbę i sumę zleconych barwień (wszystkich rodzajów wykonywanych w zakładzie) na danym etapie: zlecone, wyszukiwane w archiwum, przekazane do krojenia, krojenie, przekazane do barwienia, barwienie. Lista powinna być pogrupowana wg typu barwienia.</w:t>
      </w:r>
    </w:p>
    <w:p w14:paraId="4310A016" w14:textId="64101B91"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Dedykowany ekran określania szczegółowego protokołu barwienia. Po zeskanowaniu kodu kreskowego preparatu posiadającego wiele dostępnych protokołów barwienia prezentacja opcji do manualnego wyboru przez użytkownika.</w:t>
      </w:r>
      <w:r w:rsidR="00946B5F" w:rsidRPr="00F04478">
        <w:rPr>
          <w:rFonts w:ascii="Verdana" w:hAnsi="Verdana" w:cs="Times New Roman"/>
          <w:sz w:val="16"/>
          <w:szCs w:val="16"/>
        </w:rPr>
        <w:t xml:space="preserve"> </w:t>
      </w:r>
      <w:r w:rsidR="00946B5F" w:rsidRPr="00F04478">
        <w:rPr>
          <w:rFonts w:ascii="Verdana" w:hAnsi="Verdana" w:cs="Times New Roman"/>
          <w:sz w:val="16"/>
          <w:szCs w:val="16"/>
        </w:rPr>
        <w:br/>
      </w:r>
      <w:r w:rsidRPr="00F04478">
        <w:rPr>
          <w:rFonts w:ascii="Verdana" w:hAnsi="Verdana" w:cs="Times New Roman"/>
          <w:sz w:val="16"/>
          <w:szCs w:val="16"/>
        </w:rPr>
        <w:t>Wybranie opcji zmienia typ preparatu z ogólnego na bardziej szczegółowy.</w:t>
      </w:r>
    </w:p>
    <w:p w14:paraId="6FDA39EA" w14:textId="78468717"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10" w:name="_Toc194396361"/>
      <w:r w:rsidRPr="00F04478">
        <w:rPr>
          <w:rFonts w:ascii="Verdana" w:hAnsi="Verdana" w:cs="Times New Roman"/>
          <w:color w:val="auto"/>
          <w:sz w:val="16"/>
          <w:szCs w:val="16"/>
        </w:rPr>
        <w:t>Śledzenie przypadku</w:t>
      </w:r>
      <w:bookmarkEnd w:id="10"/>
    </w:p>
    <w:p w14:paraId="3F78C08A" w14:textId="77777777" w:rsidR="003A1C72" w:rsidRPr="00F04478" w:rsidRDefault="003A1C72" w:rsidP="00F04478">
      <w:pPr>
        <w:spacing w:line="360" w:lineRule="auto"/>
        <w:rPr>
          <w:rFonts w:ascii="Verdana" w:hAnsi="Verdana" w:cs="Times New Roman"/>
          <w:sz w:val="16"/>
          <w:szCs w:val="16"/>
        </w:rPr>
      </w:pPr>
    </w:p>
    <w:p w14:paraId="21ECC29E" w14:textId="1D36B2C0"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Informacja dla obiektów (skierowanie, materiał, odwapniacze, bloczki, preparaty, etapy procesu) o statusie postępu obróbki technicznej, lokalizacji w obrębie struktury organizacyjnej (stanowiska komputerowego, na którym ostatnio był zeskanowany w celu zmiany statusu) oraz osobach zmieniających status obiektów i czasie każdej z dokonanych zmian.</w:t>
      </w:r>
    </w:p>
    <w:p w14:paraId="12F2DD93" w14:textId="03BB54BE"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Automatyczna integracja ekranów stanowiskowych (m.in. zatapianie, krojenie, kompletacja itp.) z funkcjonalnością śledzenia przypadku.</w:t>
      </w:r>
    </w:p>
    <w:p w14:paraId="0A2B1065" w14:textId="06A02908"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Funkcja „szybkiego statusu” pokazująca kluczowe informacje na temat etapu diagnostyki danego badania i bieżącej lokalizacji skierowania, materiałów, bloczków i preparatów.</w:t>
      </w:r>
    </w:p>
    <w:p w14:paraId="3120AAD0" w14:textId="64FB9D09"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11" w:name="_Toc194396362"/>
      <w:r w:rsidRPr="00F04478">
        <w:rPr>
          <w:rFonts w:ascii="Verdana" w:hAnsi="Verdana" w:cs="Times New Roman"/>
          <w:color w:val="auto"/>
          <w:sz w:val="16"/>
          <w:szCs w:val="16"/>
        </w:rPr>
        <w:t>Zlecenia wewnętrzne (między jednostkami organizacyjnymi)</w:t>
      </w:r>
      <w:bookmarkEnd w:id="11"/>
    </w:p>
    <w:p w14:paraId="75DA3872" w14:textId="77777777" w:rsidR="003A1C72" w:rsidRPr="00F04478" w:rsidRDefault="003A1C72" w:rsidP="00F04478">
      <w:pPr>
        <w:spacing w:line="360" w:lineRule="auto"/>
        <w:rPr>
          <w:rFonts w:ascii="Verdana" w:hAnsi="Verdana" w:cs="Times New Roman"/>
          <w:sz w:val="16"/>
          <w:szCs w:val="16"/>
        </w:rPr>
      </w:pPr>
    </w:p>
    <w:p w14:paraId="4D45C946" w14:textId="2387EDC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Zlecenia wewnętrzne między jednostkami organizacyjnymi w oparciu o różne szablony formularzy zleceń.</w:t>
      </w:r>
    </w:p>
    <w:p w14:paraId="094768DC" w14:textId="3315511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Powiadamianie osoby zlecającej o wykonaniu zlecenia.</w:t>
      </w:r>
    </w:p>
    <w:p w14:paraId="138E7F04" w14:textId="06F8DB7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Zlecenia barwień dodatkowych (np. immunohistochemia, histochemia itp.) wraz z kontrolą poprawności zlecenia (m.in. rodzaj preparatu wykonywany przez daną pracownię, której wystawia się zlecenie, dostępność barwienia w czasie, zgodność typu barwienia z typem badania). Zlecenie musi obejmować etap wyszukiwania bloczka parafinowego w archiwum, jeżeli bloczek został zarchiwizowany.</w:t>
      </w:r>
    </w:p>
    <w:p w14:paraId="5CAB6DAE" w14:textId="3E8C109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Zlecenie barwienia dodatkowego musi obejmować etap wyszukiwania w archiwum wraz z prezentacją zlecenia na dedykowanej liście roboczej archiwisty, jeżeli bloczek, z którego zlecono barwienie dodatkowe został już umieszczony w archiwum.</w:t>
      </w:r>
    </w:p>
    <w:p w14:paraId="379B9303" w14:textId="56FE47E1"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lastRenderedPageBreak/>
        <w:t>Kontrola negatywna oraz kontrola pozytywna dla barwień dodatkowych: możliwość zdefiniowania dla każdego typu preparatu dodatkowego preparatu kontroli negatywnej oraz kontroli pozytywnej, które będą się automatycznie dodawać, przy wystawianiu zleceń barwień dodatkowych.</w:t>
      </w:r>
    </w:p>
    <w:p w14:paraId="08AAF224" w14:textId="4442EF6D"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Możliwość wyboru zlecanego barwienia ze słownika. </w:t>
      </w:r>
    </w:p>
    <w:p w14:paraId="140D8526" w14:textId="07181E4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Obsługa paneli barwień dodatkowych.</w:t>
      </w:r>
    </w:p>
    <w:p w14:paraId="65B9D1DA" w14:textId="7AFB53A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ponownego zlecenia ostatnio zleconego zestawu barwień do kolejnego bloczka bez określania każdego barwienia z osobna.</w:t>
      </w:r>
    </w:p>
    <w:p w14:paraId="24B48A3D" w14:textId="00C3962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Obsługa zleceń dobierania (II rzutu) – dodatkowego dobierania materiału z pojemnika z utrwalonym materiałem tkankowym (np. formaliną) w celu uzyskania dodatkowych bloczków parafinowych z materiału tkankowego, z lokalizacji wskazanej przez zlecającego patomorfologa.  Dedykowana lista robocza archiwisty związana z obsługą zleceń dobierania i przekazywania materiału osobom zajmującym się pobieraniem materiału do kasetek histopatologicznych na stanowisku pobierania.</w:t>
      </w:r>
    </w:p>
    <w:p w14:paraId="3D280B2B" w14:textId="0004864C"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Zlecenia wypożyczenia bloczków i preparatów z archiwum (wewnętrzne, zewnętrzne, do innej jednostki organizacyjnej, na potrzeby konsultacji z innym ośrodkiem).</w:t>
      </w:r>
    </w:p>
    <w:p w14:paraId="444155A0" w14:textId="28376A1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Zlecenia przebarwień preparatów.</w:t>
      </w:r>
    </w:p>
    <w:p w14:paraId="197EAF46" w14:textId="5CFAD75F"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12" w:name="_Toc194396363"/>
      <w:r w:rsidRPr="00F04478">
        <w:rPr>
          <w:rFonts w:ascii="Verdana" w:hAnsi="Verdana" w:cs="Times New Roman"/>
          <w:color w:val="auto"/>
          <w:sz w:val="16"/>
          <w:szCs w:val="16"/>
        </w:rPr>
        <w:t>Raporty i statystyki</w:t>
      </w:r>
      <w:bookmarkEnd w:id="12"/>
    </w:p>
    <w:p w14:paraId="7F318677" w14:textId="77777777" w:rsidR="003A1C72" w:rsidRPr="00F04478" w:rsidRDefault="003A1C72" w:rsidP="00F04478">
      <w:pPr>
        <w:spacing w:line="360" w:lineRule="auto"/>
        <w:rPr>
          <w:rFonts w:ascii="Verdana" w:hAnsi="Verdana" w:cs="Times New Roman"/>
          <w:sz w:val="16"/>
          <w:szCs w:val="16"/>
        </w:rPr>
      </w:pPr>
    </w:p>
    <w:p w14:paraId="6CC83546" w14:textId="77777777" w:rsidR="003A1C72"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Wydruki ksiąg pracowni (osobno dla pracowni diagnostycznych i dla pracowni realizujących barwienia dodatkowe)</w:t>
      </w:r>
      <w:r w:rsidR="003A1C72" w:rsidRPr="00F04478">
        <w:rPr>
          <w:rFonts w:ascii="Verdana" w:hAnsi="Verdana" w:cs="Times New Roman"/>
          <w:sz w:val="16"/>
          <w:szCs w:val="16"/>
        </w:rPr>
        <w:t>.</w:t>
      </w:r>
    </w:p>
    <w:p w14:paraId="7A5CCF1C" w14:textId="77777777" w:rsidR="003F0831" w:rsidRPr="00F04478" w:rsidRDefault="003F0831"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Dla księgi pracowni diagnostycznej: kryteria wejściowe: data rejestracji od-do, jednostka organizacyjna, zlecający i oddział. Raport powinien zawierać datę wpisu, numer wpisu (księgi pracowni), dane pacjenta, dane lekarza kierującego, datę pobrania, dane zlecającego, badania, identyfikator rejestrującego.</w:t>
      </w:r>
    </w:p>
    <w:p w14:paraId="13F4ED04" w14:textId="033BF1FC" w:rsidR="009E4757" w:rsidRPr="00F04478" w:rsidRDefault="003F0831"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Dla księgi barwień dodatkowych: kryteria wejściowe: data rejestracji od-do, jednostka organizacyjna. Raport powinien zawierać datę wpisu, dane zleceniodawcy, numer wpisu (księgi pracowni), dane pacjenta, dane zlecającego barwienie, numer bloczka, zlecone barwienia, liczbę barwień, datę wydania preparatów</w:t>
      </w:r>
      <w:r w:rsidR="009E4757" w:rsidRPr="00F04478">
        <w:rPr>
          <w:rFonts w:ascii="Verdana" w:hAnsi="Verdana" w:cs="Times New Roman"/>
          <w:sz w:val="16"/>
          <w:szCs w:val="16"/>
        </w:rPr>
        <w:t>.</w:t>
      </w:r>
    </w:p>
    <w:p w14:paraId="3D151327" w14:textId="1CE35B11"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Wydruk księgi pracowni diagnostycznej - wg zarejestrowanych materiałów</w:t>
      </w:r>
      <w:r w:rsidR="00946B5F" w:rsidRPr="00F04478">
        <w:rPr>
          <w:rFonts w:ascii="Verdana" w:hAnsi="Verdana" w:cs="Times New Roman"/>
          <w:sz w:val="16"/>
          <w:szCs w:val="16"/>
        </w:rPr>
        <w:t>.</w:t>
      </w:r>
      <w:r w:rsidR="00223572" w:rsidRPr="00F04478">
        <w:rPr>
          <w:rFonts w:ascii="Verdana" w:hAnsi="Verdana" w:cs="Times New Roman"/>
          <w:sz w:val="16"/>
          <w:szCs w:val="16"/>
        </w:rPr>
        <w:t xml:space="preserve"> </w:t>
      </w:r>
      <w:r w:rsidR="00223572" w:rsidRPr="00F04478">
        <w:rPr>
          <w:rFonts w:ascii="Verdana" w:hAnsi="Verdana" w:cs="Times New Roman"/>
          <w:sz w:val="16"/>
          <w:szCs w:val="16"/>
        </w:rPr>
        <w:br/>
      </w:r>
      <w:r w:rsidRPr="00F04478">
        <w:rPr>
          <w:rFonts w:ascii="Verdana" w:hAnsi="Verdana" w:cs="Times New Roman"/>
          <w:sz w:val="16"/>
          <w:szCs w:val="16"/>
        </w:rPr>
        <w:t>Kryteria wejściowe: data rejestracji od-do, jednostka organizacyjna. Raport powinien zawierać kolumny: datę przyjęcia materiału, numer wpisu (księgi pracowni), numer i rodzaj przyjętego materiału, pH materiału, dane pacjenta, dane zlecającego, identyfikator rejestrującego.</w:t>
      </w:r>
    </w:p>
    <w:p w14:paraId="66447103" w14:textId="2B905ECE"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Wydruk księgi pracowni diagnostycznej - wg zarejestrowanych badań (bloczków)</w:t>
      </w:r>
      <w:r w:rsidR="00223572" w:rsidRPr="00F04478">
        <w:rPr>
          <w:rFonts w:ascii="Verdana" w:hAnsi="Verdana" w:cs="Times New Roman"/>
          <w:sz w:val="16"/>
          <w:szCs w:val="16"/>
        </w:rPr>
        <w:br/>
      </w:r>
      <w:r w:rsidRPr="00F04478">
        <w:rPr>
          <w:rFonts w:ascii="Verdana" w:hAnsi="Verdana" w:cs="Times New Roman"/>
          <w:sz w:val="16"/>
          <w:szCs w:val="16"/>
        </w:rPr>
        <w:t>Kryteria wejściowe: data rejestracji od-do, jednostka organizacyjna. Raport powinien zawierać kolumny: datę rejestracji bloczka, numer wpisu (księgi pracowni), numer i rodzaj badania, dane pacjenta, dane zlecającego, identyfikator rejestrującego.</w:t>
      </w:r>
    </w:p>
    <w:p w14:paraId="0DDAEA14" w14:textId="0A16AA9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statystyk pracowni diagnostycznej - badania wg miejsca powstania</w:t>
      </w:r>
      <w:r w:rsidR="00223572" w:rsidRPr="00F04478">
        <w:rPr>
          <w:rFonts w:ascii="Verdana" w:hAnsi="Verdana" w:cs="Times New Roman"/>
          <w:sz w:val="16"/>
          <w:szCs w:val="16"/>
        </w:rPr>
        <w:t xml:space="preserve"> </w:t>
      </w:r>
      <w:r w:rsidR="00223572" w:rsidRPr="00F04478">
        <w:rPr>
          <w:rFonts w:ascii="Verdana" w:hAnsi="Verdana" w:cs="Times New Roman"/>
          <w:sz w:val="16"/>
          <w:szCs w:val="16"/>
        </w:rPr>
        <w:br/>
      </w:r>
      <w:r w:rsidRPr="00F04478">
        <w:rPr>
          <w:rFonts w:ascii="Verdana" w:hAnsi="Verdana" w:cs="Times New Roman"/>
          <w:sz w:val="16"/>
          <w:szCs w:val="16"/>
        </w:rPr>
        <w:t>Kryteria wejściowe: data rejestracji od-do, jednostka organizacyjna, zlecający, oddział zlecającego. Raport powinien zawierać kolumny: miejsce (stanowisko) rejestracji badania, identyfikator rejestrującego, rodzaj badania, liczbę zarejestrowanych badań.</w:t>
      </w:r>
    </w:p>
    <w:p w14:paraId="315922FF"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statystyk pracowni diagnostycznej - bloczki zatopione wg miejsca</w:t>
      </w:r>
    </w:p>
    <w:p w14:paraId="5D118A7C" w14:textId="46687B90"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rejestracji od-do, jednostka organizacyjna, zlecający, oddział zlecającego. Raport powinien zawierać kolumny: miejsce (stanowisko) zatopienia, identyfikator zatapiającego, rodzaj badania, liczbę badań oznaczonych jako zatopione.</w:t>
      </w:r>
    </w:p>
    <w:p w14:paraId="145D881B" w14:textId="244722A5"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księgi wypożycze</w:t>
      </w:r>
      <w:r w:rsidR="004C7B51" w:rsidRPr="00F04478">
        <w:rPr>
          <w:rFonts w:ascii="Verdana" w:hAnsi="Verdana" w:cs="Times New Roman"/>
          <w:sz w:val="16"/>
          <w:szCs w:val="16"/>
        </w:rPr>
        <w:t>ń</w:t>
      </w:r>
      <w:r w:rsidRPr="00F04478">
        <w:rPr>
          <w:rFonts w:ascii="Verdana" w:hAnsi="Verdana" w:cs="Times New Roman"/>
          <w:sz w:val="16"/>
          <w:szCs w:val="16"/>
        </w:rPr>
        <w:t xml:space="preserve"> wewnętrznych</w:t>
      </w:r>
    </w:p>
    <w:p w14:paraId="5B67E220" w14:textId="0D9BD0E9" w:rsidR="003F0831" w:rsidRPr="00F04478" w:rsidRDefault="003F0831"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Kryteria wejściowe: jednostka organizacyjna, status wypożyczenia, typ wypożyczenia, data wypożyczenia od-do; Raport powinien zawierać kolumny: ID zlecenia, identyfikator wypożyczającego, datę </w:t>
      </w:r>
      <w:r w:rsidRPr="00F04478">
        <w:rPr>
          <w:rFonts w:ascii="Verdana" w:hAnsi="Verdana" w:cs="Times New Roman"/>
          <w:sz w:val="16"/>
          <w:szCs w:val="16"/>
        </w:rPr>
        <w:lastRenderedPageBreak/>
        <w:t>wypożyczenia, dane pacjenta, numer przypadku, zakres wypożyczenia, identyfikator wydającego, datę zwrotu, status oraz typ wypożyczenia;</w:t>
      </w:r>
    </w:p>
    <w:p w14:paraId="0F9BAC68" w14:textId="68AE0DCD"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księgi wypożycze</w:t>
      </w:r>
      <w:r w:rsidR="004C7B51" w:rsidRPr="00F04478">
        <w:rPr>
          <w:rFonts w:ascii="Verdana" w:hAnsi="Verdana" w:cs="Times New Roman"/>
          <w:sz w:val="16"/>
          <w:szCs w:val="16"/>
        </w:rPr>
        <w:t>ń</w:t>
      </w:r>
      <w:r w:rsidRPr="00F04478">
        <w:rPr>
          <w:rFonts w:ascii="Verdana" w:hAnsi="Verdana" w:cs="Times New Roman"/>
          <w:sz w:val="16"/>
          <w:szCs w:val="16"/>
        </w:rPr>
        <w:t xml:space="preserve"> zewnętrznych</w:t>
      </w:r>
    </w:p>
    <w:p w14:paraId="3DF22F8A" w14:textId="65FD6183" w:rsidR="003F0831" w:rsidRPr="00F04478" w:rsidRDefault="003F0831"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jednostka organizacyjna, status wypożyczenia, typ wypożyczenia, data wypożyczenia od-do; Raport powinien zawierać kolumny: ID zlecenia, datę wypożyczenia, dane pacjenta, numer przypadku, zakres wypożyczenia, identyfikator wydającego, datę zwrotu, status oraz typ wypożyczenia, wynik konsultacji, identyfikator lekarza odpowiedzialnego, zgodność;</w:t>
      </w:r>
    </w:p>
    <w:p w14:paraId="099B4F97" w14:textId="27B35A72"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zleceń barwień dodatkowych</w:t>
      </w:r>
    </w:p>
    <w:p w14:paraId="20D6B63F" w14:textId="40E782DA" w:rsidR="003F0831" w:rsidRPr="00F04478" w:rsidRDefault="003F0831"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wykonania od-do, jednostka organizacyjna zlecająca, jednostka organizacyjna krojąca, jednostka organizacyjna barwiąca; Raport powinien zawierać kolumny: jednostka organizacyjna zlecająca, jednostka organizacyjna krojąca, jednostka organizacyjna barwiąca, liczba zleceń, liczba preparatów, czas wykonania z podziałem na minimalny, średni i maksymalny.</w:t>
      </w:r>
    </w:p>
    <w:p w14:paraId="47034087" w14:textId="66FD02DB"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zleceń barwień dodatkowych wg osoby zlecającej</w:t>
      </w:r>
    </w:p>
    <w:p w14:paraId="4005F3F7" w14:textId="3DDE862B" w:rsidR="003F0831" w:rsidRPr="00F04478" w:rsidRDefault="003F0831"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osoba zlecająca, data wykonania od-do, jednostka organizacyjna zlecająca, jednostka organizacyjna krojąca, jednostka organizacyjna barwiąca; Raport powinien zawierać kolumny: osoba zlecająca, jednostka organizacyjna zlecająca, jednostka organizacyjna krojąca, jednostka organizacyjna barwiąca, liczba zleceń, liczba preparatów, czas wykonania z podziałem na minimalny, średni i maksymalny.</w:t>
      </w:r>
    </w:p>
    <w:p w14:paraId="253E31A9" w14:textId="61AC3727"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utylizacji materiałów.</w:t>
      </w:r>
    </w:p>
    <w:p w14:paraId="185D51A3" w14:textId="37AC0A7A" w:rsidR="003F0831" w:rsidRPr="00F04478" w:rsidRDefault="003F0831"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utylizacji od</w:t>
      </w:r>
      <w:r w:rsidR="006F1FCD" w:rsidRPr="00F04478">
        <w:rPr>
          <w:rFonts w:ascii="Verdana" w:hAnsi="Verdana" w:cs="Times New Roman"/>
          <w:sz w:val="16"/>
          <w:szCs w:val="16"/>
        </w:rPr>
        <w:t>-</w:t>
      </w:r>
      <w:r w:rsidRPr="00F04478">
        <w:rPr>
          <w:rFonts w:ascii="Verdana" w:hAnsi="Verdana" w:cs="Times New Roman"/>
          <w:sz w:val="16"/>
          <w:szCs w:val="16"/>
        </w:rPr>
        <w:t>do, data zatwierdzenia od</w:t>
      </w:r>
      <w:r w:rsidR="006F1FCD" w:rsidRPr="00F04478">
        <w:rPr>
          <w:rFonts w:ascii="Verdana" w:hAnsi="Verdana" w:cs="Times New Roman"/>
          <w:sz w:val="16"/>
          <w:szCs w:val="16"/>
        </w:rPr>
        <w:t>-</w:t>
      </w:r>
      <w:r w:rsidRPr="00F04478">
        <w:rPr>
          <w:rFonts w:ascii="Verdana" w:hAnsi="Verdana" w:cs="Times New Roman"/>
          <w:sz w:val="16"/>
          <w:szCs w:val="16"/>
        </w:rPr>
        <w:t>do, stan utylizacji, jednostka organizacyjna wykonująca. Możliwość sortowania wg daty rejestracji, utylizacji lub zatwierdzenia. Raport powinien zawierać kolumny: numer materiału, typ materiału, opis materiału, profil utylizacji, data zatwierdzenia wyniku, data utylizacji, ilość dni od zatwierdzenia do utylizacji.</w:t>
      </w:r>
    </w:p>
    <w:p w14:paraId="4474AF1B" w14:textId="34F1015C"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ponownych skrojeni i barwień.</w:t>
      </w:r>
    </w:p>
    <w:p w14:paraId="27290DCA" w14:textId="405D932D" w:rsidR="003F0831" w:rsidRPr="00F04478" w:rsidRDefault="003F0831"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jednostka organizacyjna, data ponownego krojenia od</w:t>
      </w:r>
      <w:r w:rsidR="006F1FCD" w:rsidRPr="00F04478">
        <w:rPr>
          <w:rFonts w:ascii="Verdana" w:hAnsi="Verdana" w:cs="Times New Roman"/>
          <w:sz w:val="16"/>
          <w:szCs w:val="16"/>
        </w:rPr>
        <w:t>-</w:t>
      </w:r>
      <w:r w:rsidRPr="00F04478">
        <w:rPr>
          <w:rFonts w:ascii="Verdana" w:hAnsi="Verdana" w:cs="Times New Roman"/>
          <w:sz w:val="16"/>
          <w:szCs w:val="16"/>
        </w:rPr>
        <w:t>do. Raport powinien zawierać kolumny: numer bloczka, numer pierwotnego oraz ponowionego preparatu, typ barwienia, data pierwotnego krojenia, technik krojący pierwotny preparat, technik barwiący pierwotny preparat, czy wystąpiła kontrola jakości, data ponownego krojenia, technik krojący ponowiony preparat.</w:t>
      </w:r>
    </w:p>
    <w:p w14:paraId="6AA43162" w14:textId="1CCDFBB6"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usuniętych pakietów badań.</w:t>
      </w:r>
    </w:p>
    <w:p w14:paraId="1B10EC17" w14:textId="3792A76B"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rejestracji od</w:t>
      </w:r>
      <w:r w:rsidR="00AA68F0" w:rsidRPr="00F04478">
        <w:rPr>
          <w:rFonts w:ascii="Verdana" w:hAnsi="Verdana" w:cs="Times New Roman"/>
          <w:sz w:val="16"/>
          <w:szCs w:val="16"/>
        </w:rPr>
        <w:t>-</w:t>
      </w:r>
      <w:r w:rsidRPr="00F04478">
        <w:rPr>
          <w:rFonts w:ascii="Verdana" w:hAnsi="Verdana" w:cs="Times New Roman"/>
          <w:sz w:val="16"/>
          <w:szCs w:val="16"/>
        </w:rPr>
        <w:t>do, jednostka organizacyjna. Raport powinien zawierać kolumny: numer księgi pracowni, data rejestracji, identyfikator rejestrującego, data usunięcia, identyfikator usuwającego, zlecający, dane pacjenta.</w:t>
      </w:r>
    </w:p>
    <w:p w14:paraId="6840326D" w14:textId="58A4639F"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anulowanych zleceń.</w:t>
      </w:r>
    </w:p>
    <w:p w14:paraId="3C81374A" w14:textId="3C636AA8" w:rsidR="003F0831" w:rsidRPr="00F04478" w:rsidRDefault="003F0831"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zlecenia od</w:t>
      </w:r>
      <w:r w:rsidR="00AA68F0" w:rsidRPr="00F04478">
        <w:rPr>
          <w:rFonts w:ascii="Verdana" w:hAnsi="Verdana" w:cs="Times New Roman"/>
          <w:sz w:val="16"/>
          <w:szCs w:val="16"/>
        </w:rPr>
        <w:t>-</w:t>
      </w:r>
      <w:r w:rsidRPr="00F04478">
        <w:rPr>
          <w:rFonts w:ascii="Verdana" w:hAnsi="Verdana" w:cs="Times New Roman"/>
          <w:sz w:val="16"/>
          <w:szCs w:val="16"/>
        </w:rPr>
        <w:t>do, jednostka organizacyjna, przyczyna anulowania zlecenia. Raport powinien zawierać kolumny: data zlecenia, zlecający, numer obcy zlecenia, imię i nazwisko pacjenta, PESEL pacjenta, przyczyna anulowania zlecenia.</w:t>
      </w:r>
    </w:p>
    <w:p w14:paraId="27A5FEB5" w14:textId="566E806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listy diagnozujących, którzy wystąpili w okresie rozliczeniowym.</w:t>
      </w:r>
      <w:r w:rsidR="00223572" w:rsidRPr="00F04478">
        <w:rPr>
          <w:rFonts w:ascii="Verdana" w:hAnsi="Verdana" w:cs="Times New Roman"/>
          <w:sz w:val="16"/>
          <w:szCs w:val="16"/>
        </w:rPr>
        <w:br/>
      </w:r>
      <w:r w:rsidRPr="00F04478">
        <w:rPr>
          <w:rFonts w:ascii="Verdana" w:hAnsi="Verdana" w:cs="Times New Roman"/>
          <w:sz w:val="16"/>
          <w:szCs w:val="16"/>
        </w:rPr>
        <w:t>Kryteria wejściowe: data wykonania od-do, jednostka organizacyjna. Raport powinien zawierać kolumny: diagnozujący, skrót do raportu szczegółowego.</w:t>
      </w:r>
    </w:p>
    <w:p w14:paraId="599D1EB3"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ilości badań dla diagnozujących.</w:t>
      </w:r>
      <w:r w:rsidR="00223572" w:rsidRPr="00F04478">
        <w:rPr>
          <w:rFonts w:ascii="Verdana" w:hAnsi="Verdana" w:cs="Times New Roman"/>
          <w:sz w:val="16"/>
          <w:szCs w:val="16"/>
        </w:rPr>
        <w:t xml:space="preserve"> </w:t>
      </w:r>
    </w:p>
    <w:p w14:paraId="16AA8534" w14:textId="16230C57"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diagnozujący, zlecający, data wykonania od-do, jednostka organizacyjna. Raport powinien zawierać kolumny: typ badania, liczba przypadków, liczba badań, liczba preparatów, cena netto, wartość netto, stawka VAT, wartość brutto. Wartości powinny być podsumowane.</w:t>
      </w:r>
    </w:p>
    <w:p w14:paraId="042D753C"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ilości badań i listy pacjentów dla diagnozujących.</w:t>
      </w:r>
    </w:p>
    <w:p w14:paraId="6B7BAAF8" w14:textId="5ABC4845"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Kryteria wejściowe: diagnozujący, zlecający, data wykonania od-do, jednostka organizacyjna. Raport powinien zawierać kolumny (pierwsza tabela - grupowanie typami badań i procedur): typ badania/procedury/preparatu, liczba przypadków, liczba badań, cena netto, wartość netto, stawka VAT, wartość brutto. Wartości powinny być podsumowane. Raport powinien zawierać kolumny (druga tabela - </w:t>
      </w:r>
      <w:r w:rsidRPr="00F04478">
        <w:rPr>
          <w:rFonts w:ascii="Verdana" w:hAnsi="Verdana" w:cs="Times New Roman"/>
          <w:sz w:val="16"/>
          <w:szCs w:val="16"/>
        </w:rPr>
        <w:lastRenderedPageBreak/>
        <w:t>grupowanie pacjentami): numer księgi pracowni, dane pacjenta, zlecający, typ badania/procedury/preparatu, liczba badań, cena netto, wartość netto, stawka VAT, wartość brutto. Wartości powinny być podsumowane.</w:t>
      </w:r>
    </w:p>
    <w:p w14:paraId="025ACF3A" w14:textId="067ECEE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czasu wykonania badań (terminowości) dla wybranej grupy badań</w:t>
      </w:r>
      <w:r w:rsidR="009D7F90" w:rsidRPr="00F04478">
        <w:rPr>
          <w:rFonts w:ascii="Verdana" w:hAnsi="Verdana" w:cs="Times New Roman"/>
          <w:sz w:val="16"/>
          <w:szCs w:val="16"/>
        </w:rPr>
        <w:t xml:space="preserve"> </w:t>
      </w:r>
      <w:r w:rsidRPr="00F04478">
        <w:rPr>
          <w:rFonts w:ascii="Verdana" w:hAnsi="Verdana" w:cs="Times New Roman"/>
          <w:sz w:val="16"/>
          <w:szCs w:val="16"/>
        </w:rPr>
        <w:t>wyfiltrowanej wg możliwych parametrów (minimum rodzaj materiału, lokalizacja, lekarz kierujący, jednostka kierująca, lekarz diagnozujący. Raport powinien zawierać kolumny: data rejestracji, data wyniku (zatwierdzenia przypadku), numer zlecenia, id pacjenta, czas diagnostyki w dniach roboczych, status nowotworu złośliwego (tak/nie). Raport powinien zawierać w podsumowaniu czas diagnostyki: średni, minimalny, maksymalny oraz medianę.</w:t>
      </w:r>
    </w:p>
    <w:p w14:paraId="0A774C74" w14:textId="77777777" w:rsidR="006F37C1"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dla diagnozującego – lista zlecających, którym diagnozował.</w:t>
      </w:r>
    </w:p>
    <w:p w14:paraId="75AA92D7" w14:textId="7EDD4A46"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diagnozujący, data wykonania od-do, jednostka organizacyjna.  Raport powinien zawierać kolumny: zlecającego, skrót do raportu szczegółowego.</w:t>
      </w:r>
    </w:p>
    <w:p w14:paraId="28E312CD"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Raport dla diagnozującego – przypadki niezakończone </w:t>
      </w:r>
    </w:p>
    <w:p w14:paraId="6C1D0A04" w14:textId="282B86E7"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jednostka organizacyjna. Raport powinien zawierać kolumny: odpowiedzialny za przypadki, sumaryczna liczba niezakończonych przypadków, liczba przypadków oznaczonych do weryfikacji, liczba przypadków w statusie wyniku wstępnego, liczba przypadków oczekujących na podpis elektroniczny.</w:t>
      </w:r>
    </w:p>
    <w:p w14:paraId="77C25149"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czasu wykonania badań z podziałem na diagnozujących.</w:t>
      </w:r>
    </w:p>
    <w:p w14:paraId="3D37CAFD" w14:textId="4E5D98F8"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jednostka organizacyjna, data rejestracji przypadku. Raport powinien zawierać kolumny (pierwsza tabela): odpowiedzialny za przypadki, liczba wpisanych rozpoznań, czasy (minimalny, średni, maksymalny) od rejestracji do wpisania rozpoznania, liczba przypadków bez rozpoznania. Raport powinien zawierać kolumny (druga tabela): odpowiedzialny za przypadki, liczba wpisanych rozpoznań, czasy (minimalny, średni, maksymalny) od przekazania do diagnostyki do zatwierdzenia przypadku.</w:t>
      </w:r>
    </w:p>
    <w:p w14:paraId="3BF04CE4"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listy lek. wykrawających, którzy wystąpili w okresie rozliczeniowym.</w:t>
      </w:r>
    </w:p>
    <w:p w14:paraId="7AF23A23" w14:textId="1CF346D0"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wykonania od-do, jednostka organizacyjna. Raport powinien zawierać kolumny: wykrawający, skrót do raportu szczegółowego.</w:t>
      </w:r>
    </w:p>
    <w:p w14:paraId="7C68B8C4"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Raport liczby badań dla lek. wykrawających. </w:t>
      </w:r>
    </w:p>
    <w:p w14:paraId="47540C92" w14:textId="2531A3E1"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wykrawający, zlecający, data wykonania od-do, jednostka organizacyjna. Raport powinien zawierać kolumny: typ badania, liczba przypadków, liczba badań, cena netto, wartość netto, stawka VAT, wartość brutto. Wartości brutto powinny być podsumowane.</w:t>
      </w:r>
    </w:p>
    <w:p w14:paraId="3F13719F" w14:textId="1E9801B5"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Raport liczby badań i listy pacjentów dla lek. </w:t>
      </w:r>
      <w:r w:rsidR="00090EC0" w:rsidRPr="00F04478">
        <w:rPr>
          <w:rFonts w:ascii="Verdana" w:hAnsi="Verdana" w:cs="Times New Roman"/>
          <w:sz w:val="16"/>
          <w:szCs w:val="16"/>
        </w:rPr>
        <w:t>w</w:t>
      </w:r>
      <w:r w:rsidRPr="00F04478">
        <w:rPr>
          <w:rFonts w:ascii="Verdana" w:hAnsi="Verdana" w:cs="Times New Roman"/>
          <w:sz w:val="16"/>
          <w:szCs w:val="16"/>
        </w:rPr>
        <w:t>ykrawających</w:t>
      </w:r>
    </w:p>
    <w:p w14:paraId="21751993" w14:textId="38DADB14"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wykrawający,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00A7DB91" w14:textId="552F1087"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listy techników wykrawających, którzy wystąpili w okresie rozliczeniowym.</w:t>
      </w:r>
      <w:r w:rsidR="00223572" w:rsidRPr="00F04478">
        <w:rPr>
          <w:rFonts w:ascii="Verdana" w:hAnsi="Verdana" w:cs="Times New Roman"/>
          <w:sz w:val="16"/>
          <w:szCs w:val="16"/>
        </w:rPr>
        <w:br/>
      </w:r>
      <w:r w:rsidRPr="00F04478">
        <w:rPr>
          <w:rFonts w:ascii="Verdana" w:hAnsi="Verdana" w:cs="Times New Roman"/>
          <w:sz w:val="16"/>
          <w:szCs w:val="16"/>
        </w:rPr>
        <w:t>Kryteria wejściowe: data wykonania od-do, jednostka organizacyjna. Raport powinien zawierać kolumny: technik wykrawający, skrót do raportu szczegółowego.</w:t>
      </w:r>
    </w:p>
    <w:p w14:paraId="32733FA1"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dla techników wykrawających.</w:t>
      </w:r>
    </w:p>
    <w:p w14:paraId="66ADA67F" w14:textId="275CE96A"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technik wykrawający, zlecający, data wykonania od-do, jednostka organizacyjna. Raport powinien zawierać kolumny: typ badania, liczba przypadków, liczba badań, cena netto, wartość netto, stawka VAT, wartość brutto. Wartości brutto powinny być podsumowane.</w:t>
      </w:r>
    </w:p>
    <w:p w14:paraId="5EF5A06C"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ilości badań i listy pacjentów dla techników wykrawających.</w:t>
      </w:r>
    </w:p>
    <w:p w14:paraId="609BD2C1" w14:textId="25E8619E"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Kryteria wejściowe: technik wykrawający, zlecający, data wykonania od-do, jednostka organizacyjna. Raport powinien zawierać kolumny (pierwsza tabela - grupowanie typami badań i procedur): typ badania, liczba przypadków, liczba badań, cena netto, wartość netto, stawka VAT, wartość brutto. Wartości powinny </w:t>
      </w:r>
      <w:r w:rsidRPr="00F04478">
        <w:rPr>
          <w:rFonts w:ascii="Verdana" w:hAnsi="Verdana" w:cs="Times New Roman"/>
          <w:sz w:val="16"/>
          <w:szCs w:val="16"/>
        </w:rPr>
        <w:lastRenderedPageBreak/>
        <w:t>być podsumowane. Raport powinien zawierać kolumny (druga tabela - grupowanie pacjentami): numer księgi pracowni, dane pacjenta, zlecający, typ badania, liczba badań, cena netto, wartość netto, stawka VAT, wartość brutto. Wartości powinny być podsumowane.</w:t>
      </w:r>
    </w:p>
    <w:p w14:paraId="32C42C46"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listy techników zatapiających, którzy wystąpili w okresie rozliczeniowym.</w:t>
      </w:r>
    </w:p>
    <w:p w14:paraId="3FDB2B5B" w14:textId="55FBAA61"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wykonania od-do, jednostka organizacyjna. Raport powinien zawierać kolumny: technik zatapiający, skrót do raportu szczegółowego.</w:t>
      </w:r>
    </w:p>
    <w:p w14:paraId="18A7C10A"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dla techników zatapiających.</w:t>
      </w:r>
    </w:p>
    <w:p w14:paraId="67694AFA" w14:textId="0074B747"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technik zatapiający, zlecający, data wykonania od-do, jednostka organizacyjna. Raport powinien zawierać kolumny: typ badania, liczba przypadków, liczba badań, cena netto, wartość netto, stawka VAT, wartość brutto. Wartości brutto powinny być podsumowane.</w:t>
      </w:r>
    </w:p>
    <w:p w14:paraId="41D8F9DA"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i listy pacjentów dla techników zatapiających.</w:t>
      </w:r>
    </w:p>
    <w:p w14:paraId="1AD909B2" w14:textId="2B9658CA"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technik zatapiający,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5759CB80" w14:textId="2049477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listy techników krojących, którzy wystąpili w okresie rozliczeniowym.</w:t>
      </w:r>
      <w:r w:rsidR="00223572" w:rsidRPr="00F04478">
        <w:rPr>
          <w:rFonts w:ascii="Verdana" w:hAnsi="Verdana" w:cs="Times New Roman"/>
          <w:sz w:val="16"/>
          <w:szCs w:val="16"/>
        </w:rPr>
        <w:br/>
      </w:r>
      <w:r w:rsidRPr="00F04478">
        <w:rPr>
          <w:rFonts w:ascii="Verdana" w:hAnsi="Verdana" w:cs="Times New Roman"/>
          <w:sz w:val="16"/>
          <w:szCs w:val="16"/>
        </w:rPr>
        <w:t>Kryteria wejściowe: data wykonania od-do, jednostka organizacyjna. Raport powinien zawierać kolumny: technik krojący, skrót do raportu szczegółowego.</w:t>
      </w:r>
    </w:p>
    <w:p w14:paraId="032D0DCC"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dla techników krojących.</w:t>
      </w:r>
    </w:p>
    <w:p w14:paraId="0CE47F6D" w14:textId="5113E460"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technik krojący, zlecający, data wykonania od-do, jednostka organizacyjna. Raport powinien zawierać kolumny: typ badania, liczba przypadków, liczba badań, cena netto, wartość netto, stawka VAT, wartość brutto. Wartości brutto powinny być podsumowane.</w:t>
      </w:r>
    </w:p>
    <w:p w14:paraId="7271E255"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i listy pacjentów dla techników krojących.</w:t>
      </w:r>
    </w:p>
    <w:p w14:paraId="57CEB30B" w14:textId="55427AE7"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technik krojący, zlecający, data wykonania od-do, jednostka organizacyjna. Raport powinien zawierać kolumny: typ badania, liczba przypadków, liczba badań, cena netto, wartość netto, stawka VAT, wartość brutto. Wartości brutto powinny być podsumowane.</w:t>
      </w:r>
    </w:p>
    <w:p w14:paraId="33263E97" w14:textId="3302C30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listy techników barwiących, którzy wystąpili w okresie rozliczeniowym.</w:t>
      </w:r>
      <w:r w:rsidR="00223572" w:rsidRPr="00F04478">
        <w:rPr>
          <w:rFonts w:ascii="Verdana" w:hAnsi="Verdana" w:cs="Times New Roman"/>
          <w:sz w:val="16"/>
          <w:szCs w:val="16"/>
        </w:rPr>
        <w:br/>
      </w:r>
      <w:r w:rsidRPr="00F04478">
        <w:rPr>
          <w:rFonts w:ascii="Verdana" w:hAnsi="Verdana" w:cs="Times New Roman"/>
          <w:sz w:val="16"/>
          <w:szCs w:val="16"/>
        </w:rPr>
        <w:t>Kryteria wejściowe: data wykonania od-do, jednostka organizacyjna. Raport powinien zawierać kolumny: technik barwiący, skrót do raportu szczegółowego</w:t>
      </w:r>
    </w:p>
    <w:p w14:paraId="36DDAA6D"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dla techników barwiących.</w:t>
      </w:r>
    </w:p>
    <w:p w14:paraId="60A32D77" w14:textId="7EE51EDB"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technik barwiący, zlecający, data wykonania od-do, jednostka organizacyjna. Raport powinien zawierać kolumny: typ badania, liczba przypadków, liczba badań, cena netto, wartość netto, stawka VAT, wartość brutto. Wartości brutto powinny być podsumowane.</w:t>
      </w:r>
    </w:p>
    <w:p w14:paraId="7E3029F6"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i listy pacjentów dla techników barwiących.</w:t>
      </w:r>
    </w:p>
    <w:p w14:paraId="71B9A75A" w14:textId="29174EA0"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technik barwiący, zlecający, data wykonania od-do, jednostka organizacyjna. Raport powinien zawierać kolumny (pierwsza tabela - grupowanie typami badań i procedur): typ badania, liczba przypadków, liczba badań, cena netto, wartość netto, stawka VAT, wartość brutto. Wartości powinny być podsumowane. Raport powinien zawierać kolumny (druga tabela - grupowanie pacjentami): numer księgi pracowni, dane pacjenta, zlecający, typ badania, liczba badań, cena netto, wartość netto, stawka VAT, wartość brutto. Wartości powinny być podsumowane.</w:t>
      </w:r>
    </w:p>
    <w:p w14:paraId="5DAAE671"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Raport </w:t>
      </w:r>
      <w:proofErr w:type="spellStart"/>
      <w:r w:rsidRPr="00F04478">
        <w:rPr>
          <w:rFonts w:ascii="Verdana" w:hAnsi="Verdana" w:cs="Times New Roman"/>
          <w:sz w:val="16"/>
          <w:szCs w:val="16"/>
        </w:rPr>
        <w:t>wykonań</w:t>
      </w:r>
      <w:proofErr w:type="spellEnd"/>
      <w:r w:rsidRPr="00F04478">
        <w:rPr>
          <w:rFonts w:ascii="Verdana" w:hAnsi="Verdana" w:cs="Times New Roman"/>
          <w:sz w:val="16"/>
          <w:szCs w:val="16"/>
        </w:rPr>
        <w:t xml:space="preserve"> całego Zakładu wg kosztów procedur</w:t>
      </w:r>
    </w:p>
    <w:p w14:paraId="52AD9DAF" w14:textId="5BFB95B3"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wykonania od-do, jednostka organizacyjna. Raport powinien zawierać kod procedury (badania, barwienia), opis procedury, liczbę przypadków, w których pojawiła się procedura, liczbę wykonanych procedur, koszt procedury. Wartości powinny być podsumowane.</w:t>
      </w:r>
    </w:p>
    <w:p w14:paraId="7701C240"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dla techników na poszczególnych etapach procesu diagnostycznego</w:t>
      </w:r>
    </w:p>
    <w:p w14:paraId="027EBBF9" w14:textId="561176A7"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lastRenderedPageBreak/>
        <w:t>Kryteria wejściowe: data wykonania od-do, grupa pracowników. Raport powinien zawierać wykaz pracowników z liczbą wykonanych etapów, jednostkową wartość punktową, łączną liczbę uzyskanych punktów. Dane całościowe i cząstkowe (poszczególne etapy) powinny być prezentowane dodatkowo w postaci wykresów.</w:t>
      </w:r>
    </w:p>
    <w:p w14:paraId="52FDEF7C" w14:textId="3894EA09"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wykonanych zbiorczo na poszczególnych etapach procesu diagnostycznego w trybie ciągłym w czasie trwania pracy z generowaniem wykresów lub zbiorczo w wybranym okresie.</w:t>
      </w:r>
    </w:p>
    <w:p w14:paraId="72D95272" w14:textId="61D0A71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wykonanych badań w całej pracowni z podziałem na stawki rozliczeniowe ze zlecającymi.</w:t>
      </w:r>
    </w:p>
    <w:p w14:paraId="5103D573"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statystyk wpisanych rozpoznań.</w:t>
      </w:r>
    </w:p>
    <w:p w14:paraId="35A6C163" w14:textId="0EFE68B6"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wykonania od-do, jednostka organizacyjna. Raport powinien zawierać kolumny: identyfikator wpisującego, liczbę wpisanych rozpoznań, liczbę przypadków, liczbę znaków dodanych i usuniętych wraz z ich sumą, średnią długość rozpoznania</w:t>
      </w:r>
    </w:p>
    <w:p w14:paraId="2335A280"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statystyk wpisanych opisów makroskopowych.</w:t>
      </w:r>
    </w:p>
    <w:p w14:paraId="4D005C9A" w14:textId="1C3E75B0"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wykonania od-do, jednostka organizacyjna. Raport powinien zawierać kolumny: identyfikator wpisującego, liczbę wpisanych opisów, liczbę przypadków, liczbę znaków dodanych i usuniętych wraz z ich sumą, średnią długość opisu.</w:t>
      </w:r>
    </w:p>
    <w:p w14:paraId="284FB491" w14:textId="2149FDF1"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listy zlecających, którzy wystąpili w okresie rozliczeniowym.</w:t>
      </w:r>
      <w:r w:rsidR="00223572" w:rsidRPr="00F04478">
        <w:rPr>
          <w:rFonts w:ascii="Verdana" w:hAnsi="Verdana" w:cs="Times New Roman"/>
          <w:sz w:val="16"/>
          <w:szCs w:val="16"/>
        </w:rPr>
        <w:br/>
      </w:r>
      <w:r w:rsidRPr="00F04478">
        <w:rPr>
          <w:rFonts w:ascii="Verdana" w:hAnsi="Verdana" w:cs="Times New Roman"/>
          <w:sz w:val="16"/>
          <w:szCs w:val="16"/>
        </w:rPr>
        <w:t>Kryteria wejściowe: data wykonania od-do, jednostka organizacyjna. Raport powinien zawierać kolumny: zlecający (oddział), skrót do raportu szczegółowego.</w:t>
      </w:r>
    </w:p>
    <w:p w14:paraId="505B7E74"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dla zlecającego (z możliwością ograniczenia kryteriów do oddziału).</w:t>
      </w:r>
    </w:p>
    <w:p w14:paraId="5F57FD35" w14:textId="3F12D3FE"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zlecający, oddział, data wykonania od-do, jednostka organizacyjna. Raport powinien zawierać kolumny: kod procedury (badania, barwienia), opis procedury, liczbę przypadków, w których pojawiła się procedura, liczbę wykonanych procedur, cenę netto, wartość netto, stawkę VAT, wartość brutto, podsumowanie wartości wszystkich wykonanych procedur.</w:t>
      </w:r>
    </w:p>
    <w:p w14:paraId="1F3BF0B5"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i listy pacjentów dla zlecającego (z możliwością ograniczenia kryteriów do oddziału).</w:t>
      </w:r>
    </w:p>
    <w:p w14:paraId="1DB5A1D9" w14:textId="05977A50"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zlecający, data wykonania od-do, jednostka organizacyjna. Raport powinien zawierać kolumny (pierwsza tabela - grupowanie typami badań i procedur): kod procedury (badania, barwienia), opis procedury, liczbę przypadków, w których pojawiła się procedura, liczbę wykonanych procedur, cenę netto, wartość netto, stawkę VAT, wartość brutto. Wartości powinny być podsumowane. Raport powinien zawierać kolumny (druga tabela - grupowanie pacjentami): numer księgi pracowni, dane pacjenta, zlecający, typ procedury, liczba procedur. Wartości powinny być podsumowane.</w:t>
      </w:r>
    </w:p>
    <w:p w14:paraId="3E92E3BD" w14:textId="25611C3A"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dla zlecającego – jedna lista z podziałem na jednostki zlecające.</w:t>
      </w:r>
      <w:r w:rsidR="00223572" w:rsidRPr="00F04478">
        <w:rPr>
          <w:rFonts w:ascii="Verdana" w:hAnsi="Verdana" w:cs="Times New Roman"/>
          <w:sz w:val="16"/>
          <w:szCs w:val="16"/>
        </w:rPr>
        <w:br/>
      </w:r>
      <w:r w:rsidRPr="00F04478">
        <w:rPr>
          <w:rFonts w:ascii="Verdana" w:hAnsi="Verdana" w:cs="Times New Roman"/>
          <w:sz w:val="16"/>
          <w:szCs w:val="16"/>
        </w:rPr>
        <w:t>Kryteria wejściowe: zlecający, data wykonania od-do, jednostka organizacyjna. Raport powinien zawierać kolumny: kod procedury (badania, barwienia), opis procedury, liczbę przypadków, w których pojawiła się procedura, liczbę wykonanych procedur, cenę netto, wartość netto, stawkę VAT, wartość brutto, podsumowanie wartości wszystkich wykonanych procedur. Raport powinien pokazywać dane pogrupowane wg oddziału zlecającego</w:t>
      </w:r>
    </w:p>
    <w:p w14:paraId="5E168982" w14:textId="3C12FC08" w:rsidR="003F0831" w:rsidRPr="00F04478" w:rsidRDefault="003F0831"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wykonanych badań w targecie pilotażu rozliczeń (cały zakład)</w:t>
      </w:r>
    </w:p>
    <w:p w14:paraId="376A2FC9" w14:textId="7DAE92F4" w:rsidR="003F0831" w:rsidRPr="00F04478" w:rsidRDefault="003F0831"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jednostka organizacyjna, data wykonania od-do; Raport powinien zawierać kolumny: kod procedury, opis procedury, liczba przypadków, liczba procedur, cenę netto, wartość netto, stawkę VAT, wartość brutto, podsumowanie wartości wszystkich wykonanych procedur.</w:t>
      </w:r>
    </w:p>
    <w:p w14:paraId="03F8A927" w14:textId="7B649E3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liczby badań z podziałem na topografię (np. do statystyk do rozliczeń z NFZ).</w:t>
      </w:r>
      <w:r w:rsidR="00223572" w:rsidRPr="00F04478">
        <w:rPr>
          <w:rFonts w:ascii="Verdana" w:hAnsi="Verdana" w:cs="Times New Roman"/>
          <w:sz w:val="16"/>
          <w:szCs w:val="16"/>
        </w:rPr>
        <w:br/>
      </w:r>
      <w:r w:rsidRPr="00F04478">
        <w:rPr>
          <w:rFonts w:ascii="Verdana" w:hAnsi="Verdana" w:cs="Times New Roman"/>
          <w:sz w:val="16"/>
          <w:szCs w:val="16"/>
        </w:rPr>
        <w:t>Kryteria wejściowe: zlecający, oddział, data wykonania od-do, jednostka organizacyjna. Raport powinien zawierać kolumny: zlecający (oddział), typ procedury (badania), topografia, liczba przypadków, liczba procedur.</w:t>
      </w:r>
    </w:p>
    <w:p w14:paraId="5F900DD0"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zatwierdzonych badań wg osoby rejestrującej.</w:t>
      </w:r>
    </w:p>
    <w:p w14:paraId="7B0FE0EA" w14:textId="70895508"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data wykonania od-do, jednostka organizacyjna. Raport powinien zawierać kolumny: identyfikator rejestrującego, typ badania, liczba przypadków.</w:t>
      </w:r>
    </w:p>
    <w:p w14:paraId="60F5C58B"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ilości wewnętrznych (wzajemnych) konsultacji</w:t>
      </w:r>
    </w:p>
    <w:p w14:paraId="759EF409" w14:textId="0D1104E7"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lastRenderedPageBreak/>
        <w:t>Kryteria wejściowe: Jednostka organizacyjna, data wykonania od-do</w:t>
      </w:r>
      <w:r w:rsidR="009E1EC0" w:rsidRPr="00F04478">
        <w:rPr>
          <w:rFonts w:ascii="Verdana" w:hAnsi="Verdana" w:cs="Times New Roman"/>
          <w:sz w:val="16"/>
          <w:szCs w:val="16"/>
        </w:rPr>
        <w:t xml:space="preserve">. </w:t>
      </w:r>
      <w:r w:rsidRPr="00F04478">
        <w:rPr>
          <w:rFonts w:ascii="Verdana" w:hAnsi="Verdana" w:cs="Times New Roman"/>
          <w:sz w:val="16"/>
          <w:szCs w:val="16"/>
        </w:rPr>
        <w:t>Raport powinien zawierać kolumny: Diagnozujący, Diagnozujący 2, Konsultujący, liczba przypadków, liczba rozpoznań, liczba procedur, liczba preparatów.</w:t>
      </w:r>
    </w:p>
    <w:p w14:paraId="7D6BB7EE" w14:textId="77777777" w:rsidR="009D7F90"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Raport księgi wewnętrznych (wzajemnych) konsultacji</w:t>
      </w:r>
    </w:p>
    <w:p w14:paraId="638F1E50" w14:textId="2E79457E" w:rsidR="009E4757" w:rsidRPr="00F04478" w:rsidRDefault="009E4757" w:rsidP="00F04478">
      <w:pPr>
        <w:pStyle w:val="Akapitzlist"/>
        <w:spacing w:line="360" w:lineRule="auto"/>
        <w:ind w:left="567"/>
        <w:jc w:val="both"/>
        <w:rPr>
          <w:rFonts w:ascii="Verdana" w:hAnsi="Verdana" w:cs="Times New Roman"/>
          <w:sz w:val="16"/>
          <w:szCs w:val="16"/>
        </w:rPr>
      </w:pPr>
      <w:r w:rsidRPr="00F04478">
        <w:rPr>
          <w:rFonts w:ascii="Verdana" w:hAnsi="Verdana" w:cs="Times New Roman"/>
          <w:sz w:val="16"/>
          <w:szCs w:val="16"/>
        </w:rPr>
        <w:t>Kryteria wejściowe: Jednostka organizacyjna, data wykonania od-do</w:t>
      </w:r>
      <w:r w:rsidR="009E1EC0" w:rsidRPr="00F04478">
        <w:rPr>
          <w:rFonts w:ascii="Verdana" w:hAnsi="Verdana" w:cs="Times New Roman"/>
          <w:sz w:val="16"/>
          <w:szCs w:val="16"/>
        </w:rPr>
        <w:t xml:space="preserve">. </w:t>
      </w:r>
      <w:r w:rsidRPr="00F04478">
        <w:rPr>
          <w:rFonts w:ascii="Verdana" w:hAnsi="Verdana" w:cs="Times New Roman"/>
          <w:sz w:val="16"/>
          <w:szCs w:val="16"/>
        </w:rPr>
        <w:t>Raport powinien zawierać kolumny: Numer przypadku, data zatwierdzenia wyniku, Diagnozujący, Diagnozujący 2, Konsultujący, liczba rozpoznań, liczba procedur, liczba preparatów.</w:t>
      </w:r>
    </w:p>
    <w:p w14:paraId="048AD34F" w14:textId="537811E8"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Szczegółowy raport finansowy wykonanych wszystkich procedur medycznych w zadanym okresie z eksportem do pliku CSV, z podziałem na cel rozliczenia (m.in. Zlecający, Diagnozujący, Diagnozujący 2, Konsultujący, Lek. wykrawający, Technik wykrawający).</w:t>
      </w:r>
    </w:p>
    <w:p w14:paraId="13D0168E" w14:textId="6D98EA3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System umożliwia tworzenie nowych raportów.</w:t>
      </w:r>
    </w:p>
    <w:p w14:paraId="21180F25" w14:textId="3CC562F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przygotowywania innych raportów zgodnie z potrzebami Zamawiającego przez serwis Wykonawcy.</w:t>
      </w:r>
      <w:r w:rsidR="00570084" w:rsidRPr="00F04478">
        <w:rPr>
          <w:rFonts w:ascii="Verdana" w:hAnsi="Verdana" w:cs="Times New Roman"/>
          <w:sz w:val="16"/>
          <w:szCs w:val="16"/>
        </w:rPr>
        <w:t xml:space="preserve"> Przygotowywanie innych raportów zgodnie z potrzebami Zamawiającego będzie odbywać się w ramach zadeklarowanych w </w:t>
      </w:r>
      <w:r w:rsidR="00CA70AF" w:rsidRPr="00F04478">
        <w:rPr>
          <w:rFonts w:ascii="Verdana" w:hAnsi="Verdana" w:cs="Times New Roman"/>
          <w:sz w:val="16"/>
          <w:szCs w:val="16"/>
        </w:rPr>
        <w:t>zamówieniu</w:t>
      </w:r>
      <w:r w:rsidR="00570084" w:rsidRPr="00F04478">
        <w:rPr>
          <w:rFonts w:ascii="Verdana" w:hAnsi="Verdana" w:cs="Times New Roman"/>
          <w:sz w:val="16"/>
          <w:szCs w:val="16"/>
        </w:rPr>
        <w:t xml:space="preserve"> roboczogodzin</w:t>
      </w:r>
      <w:r w:rsidR="00CA70AF" w:rsidRPr="00F04478">
        <w:rPr>
          <w:rFonts w:ascii="Verdana" w:hAnsi="Verdana" w:cs="Times New Roman"/>
          <w:sz w:val="16"/>
          <w:szCs w:val="16"/>
        </w:rPr>
        <w:t xml:space="preserve"> pracy</w:t>
      </w:r>
      <w:r w:rsidR="00570084" w:rsidRPr="00F04478">
        <w:rPr>
          <w:rFonts w:ascii="Verdana" w:hAnsi="Verdana" w:cs="Times New Roman"/>
          <w:sz w:val="16"/>
          <w:szCs w:val="16"/>
        </w:rPr>
        <w:t xml:space="preserve"> programisty. Po przekroczeniu zadeklarowanej puli roboczogodzin Wykonawca deklaruje gotowość do wykonania serwisowych usług płatnych, wybiegających ponad liczbę godzin </w:t>
      </w:r>
      <w:r w:rsidR="00CA70AF" w:rsidRPr="00F04478">
        <w:rPr>
          <w:rFonts w:ascii="Verdana" w:hAnsi="Verdana" w:cs="Times New Roman"/>
          <w:sz w:val="16"/>
          <w:szCs w:val="16"/>
        </w:rPr>
        <w:t>pracy programisty zadeklarowanych w zamówieniu</w:t>
      </w:r>
      <w:r w:rsidR="00570084" w:rsidRPr="00F04478">
        <w:rPr>
          <w:rFonts w:ascii="Verdana" w:hAnsi="Verdana" w:cs="Times New Roman"/>
          <w:sz w:val="16"/>
          <w:szCs w:val="16"/>
        </w:rPr>
        <w:t>, przedstawiając ofertę wykonania prac.</w:t>
      </w:r>
    </w:p>
    <w:p w14:paraId="30FE10BE" w14:textId="286385D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eksportu raportów do plików Excel XML (lub CSV) oraz PDF.</w:t>
      </w:r>
    </w:p>
    <w:p w14:paraId="1DD5039F" w14:textId="3E40683C"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13" w:name="_Toc194396364"/>
      <w:r w:rsidRPr="00F04478">
        <w:rPr>
          <w:rFonts w:ascii="Verdana" w:hAnsi="Verdana" w:cs="Times New Roman"/>
          <w:color w:val="auto"/>
          <w:sz w:val="16"/>
          <w:szCs w:val="16"/>
        </w:rPr>
        <w:t>Finanse</w:t>
      </w:r>
      <w:bookmarkEnd w:id="13"/>
    </w:p>
    <w:p w14:paraId="59275A78" w14:textId="77777777" w:rsidR="003A1C72" w:rsidRPr="00F04478" w:rsidRDefault="003A1C72" w:rsidP="00F04478">
      <w:pPr>
        <w:spacing w:line="360" w:lineRule="auto"/>
        <w:rPr>
          <w:rFonts w:ascii="Verdana" w:hAnsi="Verdana" w:cs="Times New Roman"/>
          <w:sz w:val="16"/>
          <w:szCs w:val="16"/>
        </w:rPr>
      </w:pPr>
    </w:p>
    <w:p w14:paraId="0FF89FE4" w14:textId="7A05645C"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Cenniki rozliczeniowe dla: zlecających, diagnozujących, konsultujących, lekarzy wykrawających, techników: wykrawających, zatapiających, krojących i barwiących, rezydentów (wraz z uwzględnieniem statusu rezydenta w regułach cennikowych dla współdiagnozujących). Cennik procedur kosztowych. Cenniki tworzone wg zdefiniowanych przez Zamawiającego reguł, a rozliczenie następuje wg najlepiej dopasowanej reguły. Dopasowanie reguły powinno być oparte o kryteria: zleceniodawca, typ badania, typ preparatu, grupa typów preparatów, tryb przyjęcia, topografia, technik wykrawający, lekarz wykrawający, technik zatapiający, technik krojący, technik barwiący, diagnozujący (w tym, czy jest rezydentem), diagnozujący 2, konsultujący, jednostka org. (wykonująca), ID przypadku, terminowości przypadku, typów wykrytych schorzeń definiowanych wg kodów słownikowych (np. ICD10, ICD-O3), paneli barwień dodatkowych (np. panel receptorów: Ki-67, HER-2, Progesteron, Estrogen). Dopasowanie reguły powinno móc być modyfikowane mnożnikiem wagi.</w:t>
      </w:r>
    </w:p>
    <w:p w14:paraId="501A98FC" w14:textId="43A7774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tworzenia i modyfikacji przez Zamawiającego cenników.</w:t>
      </w:r>
    </w:p>
    <w:p w14:paraId="276BED5D" w14:textId="7BE92329"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wyboru stawki VAT oraz stawki zwolnionej z podstawą zwolnienia.</w:t>
      </w:r>
    </w:p>
    <w:p w14:paraId="727DDF40" w14:textId="7DB26917"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 xml:space="preserve">Możliwość rozliczeń przedziałami poprzez określanie kwoty w zależności od zakresu ilości obiektów (bloczków, preparatów) w przypadku, materiale, lokalizacji lub badaniu. </w:t>
      </w:r>
    </w:p>
    <w:p w14:paraId="61EA8B9D" w14:textId="7D895616"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Generowanie dokumentów do rozliczeń dla kontrahentów (rachunków / faktur VAT / faktur VAT korekta), w oparciu o ewidencję procedur w systemie oraz przypisany dla kontrahenta cennik.</w:t>
      </w:r>
    </w:p>
    <w:p w14:paraId="7DFAFF7E" w14:textId="5C5F0194"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wystawienia faktury dla zlecającego na podstawie zarejestrowanych w systemie badań. Możliwość ręcznego dodania pozycji do faktury. Możliwość prostego wystawienia faktury za pojedynczy przypadek rozliczany na bieżąco, np. badanie prywatne.</w:t>
      </w:r>
    </w:p>
    <w:p w14:paraId="21286F79" w14:textId="56FEE5F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wystawienia faktury/rachunku dla Zakładu przez personel na podstawie zarejestrowanych w systemie badań. Możliwość ręcznego określenia numeru faktury zgodnie z numeracją danego wystawcy. Możliwość ręcznego dodania pozycji do faktury.</w:t>
      </w:r>
    </w:p>
    <w:p w14:paraId="2749419C" w14:textId="45A89189"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automatycznego dodawania i naliczania do każdego przypadku dodatkowych pozycji wycenionych w cenniku, w zależności od faktycznego wykonania danej procedury medycznej.</w:t>
      </w:r>
    </w:p>
    <w:p w14:paraId="4066D08B" w14:textId="04DD697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korekty ceny badania po autoryzacji i wydruku badania.</w:t>
      </w:r>
    </w:p>
    <w:p w14:paraId="435B3A4A" w14:textId="4C5741F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lastRenderedPageBreak/>
        <w:t>Możliwość podglądu prognozowanej ceny za przypadek w każdym momencie od wykonania pierwszych czynności technicznych na badanym materiale.</w:t>
      </w:r>
    </w:p>
    <w:p w14:paraId="1DD801E6" w14:textId="1676D0F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Generowanie dokumentów do rozliczeń dla personelu (rachunków / faktur VAT / faktur VAT korekta), w oparciu o ewidencję procedur w systemie oraz przypisany do personelu cennik. Możliwość ręcznego dodania pozycji rozliczenia przez uprawnionego użytkownika dla danej osoby personelu.</w:t>
      </w:r>
    </w:p>
    <w:p w14:paraId="02CDA64E" w14:textId="5E412EBB"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zdefiniowania procedur medycznych „rozliczeniowych” niewymagających wpisania rozpoznania.</w:t>
      </w:r>
    </w:p>
    <w:p w14:paraId="2671B855" w14:textId="033471ED"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rozliczania w dowolnej walucie oraz w punktach przeliczanych następnie na walutę zgodnie z konfiguracją danego zlecającego lub personelu.</w:t>
      </w:r>
    </w:p>
    <w:p w14:paraId="73B95EFC" w14:textId="2A0A32F7"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rozliczania przypadku w momencie zatwierdzenia lub na bieżąco w zależności od celu względem którego następuje rozliczenie (np. zlecający lub personel).</w:t>
      </w:r>
    </w:p>
    <w:p w14:paraId="297DCCAE" w14:textId="418B8675"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Profile cennika o różnych regułach cennikowych i cenach. Profile mogą być przypisywane do wersji danego zleceniodawcy i wersji personelu.</w:t>
      </w:r>
    </w:p>
    <w:p w14:paraId="5A21EEAD" w14:textId="045F7A63"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Automatyczne obliczanie rentowności danego przypadku na podstawie ceny za wykonywane badania, koszt procedur i koszty osobowe.</w:t>
      </w:r>
    </w:p>
    <w:p w14:paraId="62CE36EA" w14:textId="6979A6DE"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Zamykanie miesięcy księgowych ręcznie i/lub automatycznie w uzgodnionym dniu miesiąca.</w:t>
      </w:r>
    </w:p>
    <w:p w14:paraId="1C1DA792" w14:textId="0B93E178" w:rsidR="009E4757" w:rsidRPr="00F04478" w:rsidRDefault="009E4757" w:rsidP="00F04478">
      <w:pPr>
        <w:pStyle w:val="Nagwek1"/>
        <w:numPr>
          <w:ilvl w:val="0"/>
          <w:numId w:val="13"/>
        </w:numPr>
        <w:spacing w:line="360" w:lineRule="auto"/>
        <w:rPr>
          <w:rFonts w:ascii="Verdana" w:hAnsi="Verdana" w:cs="Times New Roman"/>
          <w:color w:val="auto"/>
          <w:sz w:val="16"/>
          <w:szCs w:val="16"/>
        </w:rPr>
      </w:pPr>
      <w:bookmarkStart w:id="14" w:name="_Toc194396365"/>
      <w:r w:rsidRPr="00F04478">
        <w:rPr>
          <w:rFonts w:ascii="Verdana" w:hAnsi="Verdana" w:cs="Times New Roman"/>
          <w:color w:val="auto"/>
          <w:sz w:val="16"/>
          <w:szCs w:val="16"/>
        </w:rPr>
        <w:t>Prezentacja wyników badań dla podmiotów zewnętrznych (zlecających)</w:t>
      </w:r>
      <w:bookmarkEnd w:id="14"/>
      <w:r w:rsidRPr="00F04478">
        <w:rPr>
          <w:rFonts w:ascii="Verdana" w:hAnsi="Verdana" w:cs="Times New Roman"/>
          <w:color w:val="auto"/>
          <w:sz w:val="16"/>
          <w:szCs w:val="16"/>
        </w:rPr>
        <w:t xml:space="preserve"> </w:t>
      </w:r>
    </w:p>
    <w:p w14:paraId="3DA356EF" w14:textId="77777777" w:rsidR="003A1C72" w:rsidRPr="00F04478" w:rsidRDefault="003A1C72" w:rsidP="00F04478">
      <w:pPr>
        <w:spacing w:line="360" w:lineRule="auto"/>
        <w:rPr>
          <w:rFonts w:ascii="Verdana" w:hAnsi="Verdana" w:cs="Times New Roman"/>
          <w:sz w:val="16"/>
          <w:szCs w:val="16"/>
        </w:rPr>
      </w:pPr>
    </w:p>
    <w:p w14:paraId="38B2497B" w14:textId="4313F5C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powiadamiania zleceniodawcy o dostępności wyniku w systemie poprzez automatyczną wysyłkę e-mail z komunikatem, po autoryzacji wyniku, jeżeli dla danego kontrahenta zostanie zdefiniowany adres e-mail.</w:t>
      </w:r>
    </w:p>
    <w:p w14:paraId="2AB9CB6D" w14:textId="7A65A6B4"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udostępnienia wyników w trybie „tylko do odczytu” dla uprawnionych użytkowników zewnętrznych poprzez dedykowany serwis internetowy. Dostęp zabezpieczony kombinacją login / hasło nadawany przez Zamawiającego uprawnia do odczytu własnych zleceń kontrahenta oraz pobrania wyniku w formacie PDF oraz PIK HL7-CDA, także w formacie podpisanym cyfrowo. Możliwość hurtowego pobierania wyników w plikach PDF w postaci archiwum ZIP, w tym zabezpieczonym hasłem.</w:t>
      </w:r>
    </w:p>
    <w:p w14:paraId="34BDE2F9" w14:textId="486D3620"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wydruku wyniku/wyników w formacie papierowym, także podpisanego elektronicznie, w celu wydania / wysłania pocztą / faxem do kontrahenta. Możliwość hurtowego wydruku wyników dla wybranego kontrahenta za dany okres.</w:t>
      </w:r>
    </w:p>
    <w:p w14:paraId="73B94425" w14:textId="46FAB53A"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Możliwość automatycznej wysyłki pocztą e-mail dobowego raportu zawierającego listę przyjętych skierowań oraz zatwierdzonych przypadków w postaci załącznika ZIP zabezpieczonego hasłem. Raport powinien opcjonalnie zawierać również wyniki w postaci podpisanych cyfrowo plików PDF. Możliwość odrębnej konfiguracji adresu wysyłkowego oraz zawartości załącznika ZIP dla zlecającego i/lub każdego z jego oddziałów.</w:t>
      </w:r>
    </w:p>
    <w:p w14:paraId="2578298B" w14:textId="5857D21D" w:rsidR="009E4757" w:rsidRPr="00F04478" w:rsidRDefault="009E4757" w:rsidP="00F04478">
      <w:pPr>
        <w:pStyle w:val="Nagwek1"/>
        <w:numPr>
          <w:ilvl w:val="0"/>
          <w:numId w:val="13"/>
        </w:numPr>
        <w:spacing w:line="360" w:lineRule="auto"/>
        <w:ind w:left="567"/>
        <w:rPr>
          <w:rFonts w:ascii="Verdana" w:hAnsi="Verdana" w:cs="Times New Roman"/>
          <w:color w:val="auto"/>
          <w:sz w:val="16"/>
          <w:szCs w:val="16"/>
        </w:rPr>
      </w:pPr>
      <w:bookmarkStart w:id="15" w:name="_Toc194396366"/>
      <w:r w:rsidRPr="00F04478">
        <w:rPr>
          <w:rFonts w:ascii="Verdana" w:hAnsi="Verdana" w:cs="Times New Roman"/>
          <w:color w:val="auto"/>
          <w:sz w:val="16"/>
          <w:szCs w:val="16"/>
        </w:rPr>
        <w:t>Współpraca z urządzeniami/sprzętem laboratoryjnym</w:t>
      </w:r>
      <w:bookmarkEnd w:id="15"/>
    </w:p>
    <w:p w14:paraId="7DD4429B" w14:textId="77777777" w:rsidR="003A1C72" w:rsidRPr="00F04478" w:rsidRDefault="003A1C72" w:rsidP="00F04478">
      <w:pPr>
        <w:spacing w:line="360" w:lineRule="auto"/>
        <w:ind w:left="567"/>
        <w:rPr>
          <w:rFonts w:ascii="Verdana" w:hAnsi="Verdana" w:cs="Times New Roman"/>
          <w:sz w:val="16"/>
          <w:szCs w:val="16"/>
        </w:rPr>
      </w:pPr>
    </w:p>
    <w:p w14:paraId="0DDE74C5" w14:textId="4D2BC2FD" w:rsidR="009E4757" w:rsidRPr="00F04478" w:rsidRDefault="009E4757" w:rsidP="00F04478">
      <w:pPr>
        <w:pStyle w:val="Akapitzlist"/>
        <w:numPr>
          <w:ilvl w:val="1"/>
          <w:numId w:val="13"/>
        </w:numPr>
        <w:spacing w:line="360" w:lineRule="auto"/>
        <w:ind w:left="567"/>
        <w:rPr>
          <w:rFonts w:ascii="Verdana" w:hAnsi="Verdana" w:cs="Times New Roman"/>
          <w:sz w:val="16"/>
          <w:szCs w:val="16"/>
        </w:rPr>
      </w:pPr>
      <w:r w:rsidRPr="00F04478">
        <w:rPr>
          <w:rFonts w:ascii="Verdana" w:hAnsi="Verdana" w:cs="Times New Roman"/>
          <w:sz w:val="16"/>
          <w:szCs w:val="16"/>
        </w:rPr>
        <w:t xml:space="preserve">Współpraca z systemami skanowania preparatów histologicznych </w:t>
      </w:r>
    </w:p>
    <w:p w14:paraId="2A3250AE" w14:textId="76F660AA"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System musi umożliwiać integrację z systemami skanowania preparatów histologicznych.</w:t>
      </w:r>
    </w:p>
    <w:p w14:paraId="674DF601" w14:textId="49152A63"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Integracja musi umożliwiać wyświetlanie skanu preparatu w oferowanym systemie w kontekście tego preparatu, bez konieczności powtórnego logowania się użytkownika i stosowania dodatkowych aplikacji.</w:t>
      </w:r>
    </w:p>
    <w:p w14:paraId="34E3798D" w14:textId="1A92434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Obsługa zleceń skanowania preparatów z obsługą komentarzy i wyboru powiększenia (o ile system zintegrowany posiada taką możliwość). Opcjonalna notyfikacja zlecającego po uzyskaniu dostępności skanu ze skanera.</w:t>
      </w:r>
    </w:p>
    <w:p w14:paraId="15BAF35D" w14:textId="50BECB59"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lastRenderedPageBreak/>
        <w:t>Obsługa miniaturek (</w:t>
      </w:r>
      <w:proofErr w:type="spellStart"/>
      <w:r w:rsidRPr="00F04478">
        <w:rPr>
          <w:rFonts w:ascii="Verdana" w:hAnsi="Verdana" w:cs="Times New Roman"/>
          <w:sz w:val="16"/>
          <w:szCs w:val="16"/>
        </w:rPr>
        <w:t>thumbnails</w:t>
      </w:r>
      <w:proofErr w:type="spellEnd"/>
      <w:r w:rsidRPr="00F04478">
        <w:rPr>
          <w:rFonts w:ascii="Verdana" w:hAnsi="Verdana" w:cs="Times New Roman"/>
          <w:sz w:val="16"/>
          <w:szCs w:val="16"/>
        </w:rPr>
        <w:t>) zeskanowanych preparatów prezentowanych w kontekście preparatów w oferowanym systemie.</w:t>
      </w:r>
    </w:p>
    <w:p w14:paraId="4016E1CB" w14:textId="2A8ADBAB"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Obsługa zapobiegania usunięciu istotnych („ważnych”) skanów, a także automatyczne usuwanie skanów po określonym czasie od autoryzacji przypadku – o ile system zintegrowany posiada taką możliwość.</w:t>
      </w:r>
    </w:p>
    <w:p w14:paraId="48E10CA0" w14:textId="046F5EB5"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Automatyczne umieszczanie skanów (oparte o kod kreskowy w polu opisowym preparatu) w kontekście odpowiedniego przypadku, nawet gdy diagnozujący nie wystawi zlecenia skanowania – o ile system zintegrowany posiada taką możliwość.</w:t>
      </w:r>
    </w:p>
    <w:p w14:paraId="7CAE34D5" w14:textId="70F770F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Powiadomienie osoby zlecającej skan poprzez komunikat systemowy po uzyskaniu dostępności skanu ze skanera (jeżeli w zleceniu skanowania osoba zlecająca oznaczy taką opcję).</w:t>
      </w:r>
    </w:p>
    <w:p w14:paraId="422DBFFF" w14:textId="0E40AD5E"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Możliwość oznaczenia przypadku jako w pełni cyfrowego (Digital </w:t>
      </w:r>
      <w:proofErr w:type="spellStart"/>
      <w:r w:rsidRPr="00F04478">
        <w:rPr>
          <w:rFonts w:ascii="Verdana" w:hAnsi="Verdana" w:cs="Times New Roman"/>
          <w:sz w:val="16"/>
          <w:szCs w:val="16"/>
        </w:rPr>
        <w:t>Pathology</w:t>
      </w:r>
      <w:proofErr w:type="spellEnd"/>
      <w:r w:rsidRPr="00F04478">
        <w:rPr>
          <w:rFonts w:ascii="Verdana" w:hAnsi="Verdana" w:cs="Times New Roman"/>
          <w:sz w:val="16"/>
          <w:szCs w:val="16"/>
        </w:rPr>
        <w:t>) wymagającego, aby każdy preparat posiadał skan.</w:t>
      </w:r>
    </w:p>
    <w:p w14:paraId="702B73C6" w14:textId="036FAF62"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automatycznej kompletacji preparatów przez system skanowania oraz przekazania ich do diagnozującego (wskazanego na etapie rejestracji przypadku lub wykrawania) po zeskanowaniu wszystkich preparatów z danego przypadku.</w:t>
      </w:r>
    </w:p>
    <w:p w14:paraId="4E056079" w14:textId="783DAED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Współpraca z barwiarkami/nakrywarkami do preparatów.</w:t>
      </w:r>
    </w:p>
    <w:p w14:paraId="3F52F160" w14:textId="52B1696C"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System musi współpracować z barwiarkami/nakrywarkami do preparatów wyposażonymi w czytniki kodów lub umożliwiającymi instalację takich czytników.</w:t>
      </w:r>
    </w:p>
    <w:p w14:paraId="6C02CD88" w14:textId="0B7FB158"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Integracja musi umożliwiać automatyczne oznaczenie preparatu jako zabarwiony po jego zabarwieniu, nakryciu i zeskanowaniu przez barwiarkę/nakrywarkę.</w:t>
      </w:r>
    </w:p>
    <w:p w14:paraId="4293DC8F" w14:textId="35796361"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Po zabarwieniu/nakryciu preparat może zostać losowo wybrany do kontroli jakości.</w:t>
      </w:r>
    </w:p>
    <w:p w14:paraId="3D81210F" w14:textId="526E7641" w:rsidR="009E4757"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Wdrożenie funkcjonalności zostanie wykonane </w:t>
      </w:r>
      <w:r w:rsidR="00F5444C" w:rsidRPr="00F04478">
        <w:rPr>
          <w:rFonts w:ascii="Verdana" w:hAnsi="Verdana" w:cs="Times New Roman"/>
          <w:sz w:val="16"/>
          <w:szCs w:val="16"/>
        </w:rPr>
        <w:t xml:space="preserve">w </w:t>
      </w:r>
      <w:r w:rsidRPr="00F04478">
        <w:rPr>
          <w:rFonts w:ascii="Verdana" w:hAnsi="Verdana" w:cs="Times New Roman"/>
          <w:sz w:val="16"/>
          <w:szCs w:val="16"/>
        </w:rPr>
        <w:t xml:space="preserve">czasie gwarancji, o ile Zamawiający będzie w posiadaniu </w:t>
      </w:r>
      <w:proofErr w:type="spellStart"/>
      <w:r w:rsidRPr="00F04478">
        <w:rPr>
          <w:rFonts w:ascii="Verdana" w:hAnsi="Verdana" w:cs="Times New Roman"/>
          <w:sz w:val="16"/>
          <w:szCs w:val="16"/>
        </w:rPr>
        <w:t>nakrywarki</w:t>
      </w:r>
      <w:proofErr w:type="spellEnd"/>
      <w:r w:rsidRPr="00F04478">
        <w:rPr>
          <w:rFonts w:ascii="Verdana" w:hAnsi="Verdana" w:cs="Times New Roman"/>
          <w:sz w:val="16"/>
          <w:szCs w:val="16"/>
        </w:rPr>
        <w:t xml:space="preserve"> posiadającej czytnik kodów kreskowych (max 1 szt.).</w:t>
      </w:r>
    </w:p>
    <w:p w14:paraId="0BA207C5" w14:textId="49FA3EE7" w:rsidR="005C6493" w:rsidRPr="00F04478" w:rsidRDefault="005C6493"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Funkcjonalność nie jest przedmiotem niniejszego zamówienia zostanie uruchomiona na rzecz Zamawiającego w ramach odrębnego postępowania.</w:t>
      </w:r>
    </w:p>
    <w:p w14:paraId="1DDDFE63" w14:textId="09ECAFA2"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Współpraca z urządzeniami do znakowania</w:t>
      </w:r>
    </w:p>
    <w:p w14:paraId="13148AC7" w14:textId="77777777" w:rsidR="009D7F90"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Współpraca systemu z dedykowanymi drukarkami do kasetek histopatologicznych.</w:t>
      </w:r>
    </w:p>
    <w:p w14:paraId="6920BBDA" w14:textId="67390F80"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Możliwość wskazania podajnika, z którego ma nastąpić pobranie kasetki do zadruku, jeżeli model drukarki wspiera taką funkcjonalność. Podajnik może być podpowiadany automatycznie na podstawie konfigurowalnych kryteriów jak typ, podtyp i sposób pobrania materiału, tryb przyjęcia, ścieżka kliniczna, typ badania, jednostka organizacyjna, projekt, topografia.</w:t>
      </w:r>
    </w:p>
    <w:p w14:paraId="33C46B52" w14:textId="77777777" w:rsidR="009D7F90" w:rsidRPr="00F04478" w:rsidRDefault="009E4757"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Współpraca systemu z dedykowanymi drukarkami do szkiełek mikroskopowych.</w:t>
      </w:r>
    </w:p>
    <w:p w14:paraId="796FE866" w14:textId="2EA34395" w:rsidR="009E4757" w:rsidRPr="00F04478" w:rsidRDefault="009E4757" w:rsidP="00F04478">
      <w:pPr>
        <w:pStyle w:val="Akapitzlist"/>
        <w:numPr>
          <w:ilvl w:val="3"/>
          <w:numId w:val="13"/>
        </w:numPr>
        <w:spacing w:line="360" w:lineRule="auto"/>
        <w:jc w:val="both"/>
        <w:rPr>
          <w:rFonts w:ascii="Verdana" w:hAnsi="Verdana" w:cs="Times New Roman"/>
          <w:sz w:val="16"/>
          <w:szCs w:val="16"/>
        </w:rPr>
      </w:pPr>
      <w:r w:rsidRPr="00F04478">
        <w:rPr>
          <w:rFonts w:ascii="Verdana" w:hAnsi="Verdana" w:cs="Times New Roman"/>
          <w:sz w:val="16"/>
          <w:szCs w:val="16"/>
        </w:rPr>
        <w:t>Możliwość automatycznego pobrania szkiełka z odpowiedniego podajnika drukarki w zależności od typu drukowanego preparatu (np. Hematoksylina-Eozyna, Histochemia itp.), jeżeli model drukarki wspiera taką funkcjonalność.</w:t>
      </w:r>
    </w:p>
    <w:p w14:paraId="13A4F710" w14:textId="77777777" w:rsidR="00A77686" w:rsidRPr="00F04478" w:rsidRDefault="00A77686" w:rsidP="00F04478">
      <w:pPr>
        <w:pStyle w:val="Akapitzlist"/>
        <w:numPr>
          <w:ilvl w:val="2"/>
          <w:numId w:val="13"/>
        </w:numPr>
        <w:spacing w:line="360" w:lineRule="auto"/>
        <w:ind w:left="1134"/>
        <w:jc w:val="both"/>
        <w:rPr>
          <w:rFonts w:ascii="Verdana" w:hAnsi="Verdana" w:cs="Times New Roman"/>
          <w:sz w:val="16"/>
          <w:szCs w:val="16"/>
        </w:rPr>
      </w:pPr>
      <w:r w:rsidRPr="00F04478">
        <w:rPr>
          <w:rFonts w:ascii="Verdana" w:hAnsi="Verdana" w:cs="Times New Roman"/>
          <w:sz w:val="16"/>
          <w:szCs w:val="16"/>
        </w:rPr>
        <w:t>Funkcjonalność nie jest przedmiotem niniejszego zamówienia zostanie uruchomiona na rzecz Zamawiającego w ramach odrębnego postępowania.</w:t>
      </w:r>
    </w:p>
    <w:p w14:paraId="4C833CE0" w14:textId="177BE174" w:rsidR="009E4757" w:rsidRPr="00F04478" w:rsidRDefault="009E4757" w:rsidP="00F04478">
      <w:pPr>
        <w:pStyle w:val="Akapitzlist"/>
        <w:numPr>
          <w:ilvl w:val="1"/>
          <w:numId w:val="13"/>
        </w:numPr>
        <w:spacing w:line="360" w:lineRule="auto"/>
        <w:ind w:left="567"/>
        <w:rPr>
          <w:rFonts w:ascii="Verdana" w:hAnsi="Verdana" w:cs="Times New Roman"/>
          <w:sz w:val="16"/>
          <w:szCs w:val="16"/>
        </w:rPr>
      </w:pPr>
      <w:r w:rsidRPr="00F04478">
        <w:rPr>
          <w:rFonts w:ascii="Verdana" w:hAnsi="Verdana" w:cs="Times New Roman"/>
          <w:sz w:val="16"/>
          <w:szCs w:val="16"/>
        </w:rPr>
        <w:t>Współpraca z systemami barwiącymi</w:t>
      </w:r>
    </w:p>
    <w:p w14:paraId="1BE1AB5C" w14:textId="7704DFA0" w:rsidR="009E4757" w:rsidRPr="00F04478" w:rsidRDefault="009E4757" w:rsidP="00F04478">
      <w:pPr>
        <w:pStyle w:val="Akapitzlist"/>
        <w:numPr>
          <w:ilvl w:val="2"/>
          <w:numId w:val="13"/>
        </w:numPr>
        <w:spacing w:line="360" w:lineRule="auto"/>
        <w:ind w:left="1134"/>
        <w:rPr>
          <w:rFonts w:ascii="Verdana" w:hAnsi="Verdana" w:cs="Times New Roman"/>
          <w:sz w:val="16"/>
          <w:szCs w:val="16"/>
        </w:rPr>
      </w:pPr>
      <w:r w:rsidRPr="00F04478">
        <w:rPr>
          <w:rFonts w:ascii="Verdana" w:hAnsi="Verdana" w:cs="Times New Roman"/>
          <w:sz w:val="16"/>
          <w:szCs w:val="16"/>
        </w:rPr>
        <w:t>W ramach wdrożenia Wykonawca wykona integrację z następującymi systemami barwienia będącymi w posiadaniu Zamawiającego:</w:t>
      </w:r>
    </w:p>
    <w:p w14:paraId="1313B7B5" w14:textId="1CA3E50B" w:rsidR="009E1EC0" w:rsidRPr="00F04478" w:rsidRDefault="005F0AA8" w:rsidP="00F04478">
      <w:pPr>
        <w:pStyle w:val="Akapitzlist"/>
        <w:numPr>
          <w:ilvl w:val="3"/>
          <w:numId w:val="13"/>
        </w:numPr>
        <w:spacing w:line="360" w:lineRule="auto"/>
        <w:rPr>
          <w:rFonts w:ascii="Verdana" w:hAnsi="Verdana" w:cs="Times New Roman"/>
          <w:sz w:val="16"/>
          <w:szCs w:val="16"/>
        </w:rPr>
      </w:pPr>
      <w:r w:rsidRPr="00F04478">
        <w:rPr>
          <w:rFonts w:ascii="Verdana" w:hAnsi="Verdana" w:cs="Times New Roman"/>
          <w:sz w:val="16"/>
          <w:szCs w:val="16"/>
        </w:rPr>
        <w:t>Urządzenia do immunohistochemii</w:t>
      </w:r>
    </w:p>
    <w:p w14:paraId="4F9457BE" w14:textId="77777777" w:rsidR="009E1EC0" w:rsidRPr="00F04478" w:rsidRDefault="009E4757" w:rsidP="00F04478">
      <w:pPr>
        <w:spacing w:line="360" w:lineRule="auto"/>
        <w:ind w:left="567"/>
        <w:jc w:val="both"/>
        <w:rPr>
          <w:rFonts w:ascii="Verdana" w:hAnsi="Verdana" w:cs="Times New Roman"/>
          <w:sz w:val="16"/>
          <w:szCs w:val="16"/>
        </w:rPr>
      </w:pPr>
      <w:r w:rsidRPr="00F04478">
        <w:rPr>
          <w:rFonts w:ascii="Verdana" w:hAnsi="Verdana" w:cs="Times New Roman"/>
          <w:sz w:val="16"/>
          <w:szCs w:val="16"/>
        </w:rPr>
        <w:t>Koszt zakupu licencji ponosi Wykonawca.  Po stronie Wykonawcy leży dostarczenie niezbędnego sprzętu i wszystkich niezbędnych licencji w tym na system operacyjny. Zamawiający oczekuje dostawy licencji wieczystej, chyba że producent systemu barwienia przewiduje wyłącznie sprzedaż na zasadach subskrypcji.</w:t>
      </w:r>
    </w:p>
    <w:p w14:paraId="06A3714C" w14:textId="40763485" w:rsidR="009E4757" w:rsidRPr="00F04478" w:rsidRDefault="009E4757" w:rsidP="00F04478">
      <w:pPr>
        <w:pStyle w:val="Akapitzlist"/>
        <w:numPr>
          <w:ilvl w:val="2"/>
          <w:numId w:val="26"/>
        </w:numPr>
        <w:spacing w:line="360" w:lineRule="auto"/>
        <w:jc w:val="both"/>
        <w:rPr>
          <w:rFonts w:ascii="Verdana" w:hAnsi="Verdana" w:cs="Times New Roman"/>
          <w:sz w:val="16"/>
          <w:szCs w:val="16"/>
        </w:rPr>
      </w:pPr>
      <w:r w:rsidRPr="00F04478">
        <w:rPr>
          <w:rFonts w:ascii="Verdana" w:hAnsi="Verdana" w:cs="Times New Roman"/>
          <w:sz w:val="16"/>
          <w:szCs w:val="16"/>
        </w:rPr>
        <w:lastRenderedPageBreak/>
        <w:t>Integracja oferowanego systemu z systemem do barwień immunohistochemicznych musi obejmować co najmniej:</w:t>
      </w:r>
    </w:p>
    <w:p w14:paraId="473E14F3" w14:textId="1365CE7F"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Integracja dwukierunkowa - każdy z systemów (system laboratoryjny oraz system barwienia) może zainicjować połączenie do drugiego systemu.</w:t>
      </w:r>
    </w:p>
    <w:p w14:paraId="33B68BCA" w14:textId="52DD6445"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Patomorfolog w systemie laboratoryjnym zleca barwienie dodatkowe do konkretnego bloczka.</w:t>
      </w:r>
    </w:p>
    <w:p w14:paraId="7D1D923B" w14:textId="68F46904"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uniemożliwia zlecenie barwienia dodatkowego, gdy dla danego bloczka parafinowego zostało już wykonanie dane badanie dodatkowe (możliwość zlecenia takiego badania po uprzednim zatwierdzeniu ostrzeżenia o wykonanym badaniu przez uprawnionego użytkownika).</w:t>
      </w:r>
    </w:p>
    <w:p w14:paraId="727FD711" w14:textId="11F19C83"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informuje, gdy dla danego materiału (lub lokalizacji anatomicznej) wykonano takie barwienia dodatkowe, ale z innego bloczka parafinowego.</w:t>
      </w:r>
    </w:p>
    <w:p w14:paraId="2D6AAE46" w14:textId="197BD829"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Personel laboratorium tworzy szkiełko, drukuje je z systemu laboratoryjnego i umieszcza na nim skrawek tkankowy do barwienia.</w:t>
      </w:r>
    </w:p>
    <w:p w14:paraId="70AC7A16" w14:textId="7ACD24E3"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Szkiełko zawiera kod, unikatowy w obrębie całego laboratorium, stanowiący identyfikator preparatu. Kod będzie wydrukowany w formacie 2D.</w:t>
      </w:r>
    </w:p>
    <w:p w14:paraId="23D482D9" w14:textId="37CA4BD4"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laboratoryjny w momencie dodania preparatu wysyła do systemu barwienia zlecenie barwienia.</w:t>
      </w:r>
    </w:p>
    <w:p w14:paraId="2AAC8531" w14:textId="55B90B26"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W przypadku anulowania zlecenia barwienia system laboratoryjny wyśle informację, że zlecenie jest anulowane. System barwienia wykreśli wtedy takie zlecenie barwienia z bazy lub je zdezaktywuje/ukryje.</w:t>
      </w:r>
    </w:p>
    <w:p w14:paraId="377E71C8" w14:textId="1C19BA65"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Zlecenie barwienia zawiera dane: imię i nazwisko pacjenta, PESEL, identyfikator pacjenta z systemu szpitalnego (HIS), numer przypadku, numer bloczka parafinowego, typ barwienia ze słownika systemu barwienia, kod kreskowy z preparatu.</w:t>
      </w:r>
    </w:p>
    <w:p w14:paraId="08DFDC5A" w14:textId="0D916059"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Jeżeli system barwienia będzie wspierać określanie stref zakraplania odczynnika, to w systemie laboratoryjnym powinna być funkcja wyboru strefy zakraplania.</w:t>
      </w:r>
    </w:p>
    <w:p w14:paraId="0F15223E" w14:textId="66AADF3E"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barwienia zapisuje zlecenie barwienia do swojej bazy danych i z chwilą umieszczenia szkiełka w maszynie barwiącej, na podstawie kodu kreskowego i danych zlecenia określi ona typ barwienia i je wykona.</w:t>
      </w:r>
    </w:p>
    <w:p w14:paraId="38CF6B2E" w14:textId="668FBA72"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barwienia po zakończeniu barwienia wysyła do systemu laboratoryjnego informację ze statusem zakończenia barwienia, aby poinformować patomorfologa, że preparat jest już na ukończeniu.</w:t>
      </w:r>
    </w:p>
    <w:p w14:paraId="084FA891" w14:textId="1632DC42"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Wykonawca jest zobowiązany do uzgodnienia słowników barwień z dostawcą systemu barwienia.</w:t>
      </w:r>
    </w:p>
    <w:p w14:paraId="730288E1" w14:textId="4C577F29"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Niedopuszczalne jest wielokrotne oznakowanie szkiełka różnymi kodami kreskowymi w trakcie procesu przygotowywania i barwienia.</w:t>
      </w:r>
    </w:p>
    <w:p w14:paraId="434A2782" w14:textId="6BB0F81E"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nie pozwala na wykonanie powtórnego badania z tego samego bloczka parafinowego skutkującego powstaniem duplikatu, chyba że osoba posiada stosowne uprawnienia.</w:t>
      </w:r>
    </w:p>
    <w:p w14:paraId="7033550D" w14:textId="25B8CD43" w:rsidR="009E4757" w:rsidRPr="00F04478" w:rsidRDefault="009E4757" w:rsidP="00F04478">
      <w:pPr>
        <w:pStyle w:val="Akapitzlist"/>
        <w:numPr>
          <w:ilvl w:val="2"/>
          <w:numId w:val="26"/>
        </w:numPr>
        <w:spacing w:line="360" w:lineRule="auto"/>
        <w:jc w:val="both"/>
        <w:rPr>
          <w:rFonts w:ascii="Verdana" w:hAnsi="Verdana" w:cs="Times New Roman"/>
          <w:sz w:val="16"/>
          <w:szCs w:val="16"/>
        </w:rPr>
      </w:pPr>
      <w:r w:rsidRPr="00F04478">
        <w:rPr>
          <w:rFonts w:ascii="Verdana" w:hAnsi="Verdana" w:cs="Times New Roman"/>
          <w:sz w:val="16"/>
          <w:szCs w:val="16"/>
        </w:rPr>
        <w:t>Możliwość integracji oferowanego system</w:t>
      </w:r>
      <w:r w:rsidR="00F610CD" w:rsidRPr="00F04478">
        <w:rPr>
          <w:rFonts w:ascii="Verdana" w:hAnsi="Verdana" w:cs="Times New Roman"/>
          <w:sz w:val="16"/>
          <w:szCs w:val="16"/>
        </w:rPr>
        <w:t>u</w:t>
      </w:r>
      <w:r w:rsidRPr="00F04478">
        <w:rPr>
          <w:rFonts w:ascii="Verdana" w:hAnsi="Verdana" w:cs="Times New Roman"/>
          <w:sz w:val="16"/>
          <w:szCs w:val="16"/>
        </w:rPr>
        <w:t xml:space="preserve"> z systemem do barwień histochemicznych</w:t>
      </w:r>
      <w:r w:rsidR="0072458A" w:rsidRPr="00F04478">
        <w:rPr>
          <w:rFonts w:ascii="Verdana" w:hAnsi="Verdana" w:cs="Times New Roman"/>
          <w:sz w:val="16"/>
          <w:szCs w:val="16"/>
        </w:rPr>
        <w:t xml:space="preserve"> - o</w:t>
      </w:r>
      <w:r w:rsidRPr="00F04478">
        <w:rPr>
          <w:rFonts w:ascii="Verdana" w:hAnsi="Verdana" w:cs="Times New Roman"/>
          <w:sz w:val="16"/>
          <w:szCs w:val="16"/>
        </w:rPr>
        <w:t>czekiwany zakres integracji:</w:t>
      </w:r>
    </w:p>
    <w:p w14:paraId="7C52C7C9" w14:textId="0CD9E1B6"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Integracja dwukierunkowa - każdy z systemów (system laboratoryjny oraz system barwienia) może zainicjować połączenie do drugiego systemu.</w:t>
      </w:r>
    </w:p>
    <w:p w14:paraId="0EC751CC" w14:textId="3FB1DDB8"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Patomorfolog w systemie laboratoryjnym zleca barwienie dodatkowe do konkretnego bloczka.</w:t>
      </w:r>
    </w:p>
    <w:p w14:paraId="0F99C89E" w14:textId="00769774"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uniemożliwia zlecenie barwienia dodatkowego, gdy dla danego bloczka parafinowego zostało już wykonanie dane badanie dodatkowe (możliwość zlecenia takiego badania to uprzednim zatwierdzeniu ostrzeżenia o wykonanym badaniu przez uprawnionego użytkownika).</w:t>
      </w:r>
    </w:p>
    <w:p w14:paraId="19B21025" w14:textId="7A883983"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wyświetla ostrzeżenie, gdy dla danego materiału (lub lokalizacji anatomicznej) wykonano takie barwienia dodatkowe, ale z innego bloczka parafinowego.</w:t>
      </w:r>
    </w:p>
    <w:p w14:paraId="5F221E80" w14:textId="4169855C"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lastRenderedPageBreak/>
        <w:t xml:space="preserve"> </w:t>
      </w:r>
      <w:r w:rsidR="009E4757" w:rsidRPr="00F04478">
        <w:rPr>
          <w:rFonts w:ascii="Verdana" w:hAnsi="Verdana" w:cs="Times New Roman"/>
          <w:sz w:val="16"/>
          <w:szCs w:val="16"/>
        </w:rPr>
        <w:t>Personel laboratorium tworzy szkiełko, drukuje je z systemu laboratoryjnego i umieszcza na nim skrawek tkankowy do barwienia.</w:t>
      </w:r>
    </w:p>
    <w:p w14:paraId="3AF90425" w14:textId="54CE9219"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 xml:space="preserve">Szkiełko zawiera kod kreskowy, unikatowy w obrębie całego laboratorium, stanowiący identyfikator preparatu. Kod kreskowy będzie wydrukowany w formacie 2D. </w:t>
      </w:r>
    </w:p>
    <w:p w14:paraId="7E20CBA4" w14:textId="1C00D196"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laboratoryjny w momencie dodania preparatu wysyła do systemu barwienia zlecenie barwienia.</w:t>
      </w:r>
    </w:p>
    <w:p w14:paraId="4B31485D" w14:textId="34AE2E8F"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W przypadku anulowania zlecenia barwienia system laboratoryjny wyśle informację, że zlecenie jest anulowane. System barwienia wykreśli wtedy takie zlecenie barwienia z bazy lub je zdezaktywuje/ukryje.</w:t>
      </w:r>
    </w:p>
    <w:p w14:paraId="3CB2064E" w14:textId="0F7A9037"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Zlecenie barwienia zawiera dane: imię i nazwisko pacjenta, PESEL, identyfikator pacjenta z systemu szpitalnego (HIS), numer przypadku, numer bloczka parafinowego, typ barwienia ze słownika systemu barwienia, kod kreskowy z preparatu.</w:t>
      </w:r>
    </w:p>
    <w:p w14:paraId="14A8B51B" w14:textId="0347CF73"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Jeżeli system barwienia będzie wspierać określanie stref zakraplania odczynnika, to w systemie laboratoryjnym powinna być funkcja wyboru strefy zakraplania.</w:t>
      </w:r>
    </w:p>
    <w:p w14:paraId="27388D53" w14:textId="0FC5DD92"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barwienia zapisuje zlecenie barwienia do swojej bazy danych i z chwilą umieszczenia szkiełka w maszynie barwiącej, na podstawie kodu kreskowego i danych zlecenia określi ona typ barwienia i je wykona.</w:t>
      </w:r>
    </w:p>
    <w:p w14:paraId="3F926BB0" w14:textId="2D5DB409"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System barwienia po zakończeniu barwienia wysyła do systemu laboratoryjnego informację ze statusem zakończenia barwienia, aby poinformować patomorfologa, że preparat jest już na ukończeniu.</w:t>
      </w:r>
    </w:p>
    <w:p w14:paraId="6F3A242A" w14:textId="2E77FA4D" w:rsidR="009E4757"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Wykonawca jest zobowiązany do uzgodnienia słowników barwień z dostawcą systemu barwienia.</w:t>
      </w:r>
    </w:p>
    <w:p w14:paraId="1E083010" w14:textId="49B256C9" w:rsidR="00AE0A9D" w:rsidRPr="00F04478" w:rsidRDefault="0072458A" w:rsidP="00F04478">
      <w:pPr>
        <w:pStyle w:val="Akapitzlist"/>
        <w:numPr>
          <w:ilvl w:val="3"/>
          <w:numId w:val="26"/>
        </w:numPr>
        <w:spacing w:line="360" w:lineRule="auto"/>
        <w:jc w:val="both"/>
        <w:rPr>
          <w:rFonts w:ascii="Verdana" w:hAnsi="Verdana" w:cs="Times New Roman"/>
          <w:sz w:val="16"/>
          <w:szCs w:val="16"/>
        </w:rPr>
      </w:pPr>
      <w:r w:rsidRPr="00F04478">
        <w:rPr>
          <w:rFonts w:ascii="Verdana" w:hAnsi="Verdana" w:cs="Times New Roman"/>
          <w:sz w:val="16"/>
          <w:szCs w:val="16"/>
        </w:rPr>
        <w:t xml:space="preserve"> </w:t>
      </w:r>
      <w:r w:rsidR="009E4757" w:rsidRPr="00F04478">
        <w:rPr>
          <w:rFonts w:ascii="Verdana" w:hAnsi="Verdana" w:cs="Times New Roman"/>
          <w:sz w:val="16"/>
          <w:szCs w:val="16"/>
        </w:rPr>
        <w:t>Niedopuszczalne jest wielokrotne oznakowanie szkiełka różnymi kodami kreskowymi w trakcie procesu przygotowywania i barwienia.</w:t>
      </w:r>
    </w:p>
    <w:p w14:paraId="0304B6DB" w14:textId="14CFFEA5" w:rsidR="008001EE" w:rsidRPr="00F04478" w:rsidRDefault="009E4757" w:rsidP="00F04478">
      <w:pPr>
        <w:pStyle w:val="Akapitzlist"/>
        <w:numPr>
          <w:ilvl w:val="1"/>
          <w:numId w:val="13"/>
        </w:numPr>
        <w:spacing w:line="360" w:lineRule="auto"/>
        <w:ind w:left="567"/>
        <w:rPr>
          <w:rFonts w:ascii="Verdana" w:hAnsi="Verdana" w:cs="Times New Roman"/>
          <w:sz w:val="16"/>
          <w:szCs w:val="16"/>
        </w:rPr>
      </w:pPr>
      <w:r w:rsidRPr="00F04478">
        <w:rPr>
          <w:rFonts w:ascii="Verdana" w:hAnsi="Verdana" w:cs="Times New Roman"/>
          <w:sz w:val="16"/>
          <w:szCs w:val="16"/>
        </w:rPr>
        <w:t>Współpraca z procesorami tkankowymi</w:t>
      </w:r>
    </w:p>
    <w:p w14:paraId="22A3E993" w14:textId="05446E31" w:rsidR="008001EE" w:rsidRPr="00F04478" w:rsidRDefault="008001EE"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W ramach wdrożenia Wykonawca dostarczy funkcjonalności opisane w pkt. 11.5.2-11.5.5. Funkcjonalności opisane w pkt. 11.5.6-11.5.9 muszą być możliwe do wdrożenia w ramach odrębnego zamówienia w czasie trwania gwarancji, w terminie nie dłuższym niż 30 dni od daty zamówienia.</w:t>
      </w:r>
    </w:p>
    <w:p w14:paraId="4BF4D0DB" w14:textId="55A7D504" w:rsidR="009E4757" w:rsidRPr="00F04478" w:rsidRDefault="009E4757"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Interfejs użytkownika prezentujący stan procesorów tkankowych - w szczególności stan pracy procesora, zawartość, czas pracy programu procesora, informacja o przekroczeniu lub nieosiągnięciu planowanego czasu pracy, informacja o alarmach (i ich poziomach istotności).</w:t>
      </w:r>
    </w:p>
    <w:p w14:paraId="09FD3329" w14:textId="39339A06" w:rsidR="009E4757" w:rsidRPr="00F04478" w:rsidRDefault="009E4757"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przypisania kasetki histopatologicznej do koszyka procesora tkankowego.</w:t>
      </w:r>
    </w:p>
    <w:p w14:paraId="51A057F4" w14:textId="70100D9E" w:rsidR="009E4757" w:rsidRPr="00F04478" w:rsidRDefault="009E4757"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przypisania koszyka procesora tkankowego do procesora tkankowego (wsad materiału do procesora) i typu programu procesora.</w:t>
      </w:r>
    </w:p>
    <w:p w14:paraId="0F5AFDFD" w14:textId="503B081C" w:rsidR="009E4757" w:rsidRPr="00F04478" w:rsidRDefault="009E4757"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Możliwość ręcznego hurtowego dodania zdarzenia kontroli jakości wraz z opisem do wszystkich kasetek znajdujących się w procesorze.</w:t>
      </w:r>
    </w:p>
    <w:p w14:paraId="30CE9E4A" w14:textId="6BB0C0C1" w:rsidR="009E4757" w:rsidRPr="00F04478" w:rsidRDefault="009E4757"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Współpraca z procesorami tkankowymi wraz z integracją z funkcjonalnością śledzenia próbki w oferowanym systemie. System musi odnotowywać, w którym koszyku i procesorze kasetka była procesowana, kiedy i przez kogo oraz jakie wystąpiły ew. błędy kontroli jakości.</w:t>
      </w:r>
    </w:p>
    <w:p w14:paraId="019B4C63" w14:textId="19B06BBA" w:rsidR="009E4757" w:rsidRPr="00F04478" w:rsidRDefault="009E4757"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Interfejs integracyjny z procesorami umożliwiający automatyczne (tj. niewymagające interakcji ze strony użytkownika) określenie stanu uruchomienia procesora oraz występujących alarmów. Informacje odczytane z procesorów powinny być prezentowane w oferowanym Systemie.</w:t>
      </w:r>
    </w:p>
    <w:p w14:paraId="3DCE1ABA" w14:textId="3886F411" w:rsidR="009E4757" w:rsidRPr="00F04478" w:rsidRDefault="009E4757"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Błędy czasu pracy procesora oraz alarmy krytyczne powinny być prezentowane w kontekście kasetki histopatologicznej, która była częścią danego procesu.</w:t>
      </w:r>
    </w:p>
    <w:p w14:paraId="26E42438" w14:textId="3D3A0F39" w:rsidR="009E4757" w:rsidRPr="00F04478" w:rsidRDefault="009E4757" w:rsidP="00F04478">
      <w:pPr>
        <w:pStyle w:val="Akapitzlist"/>
        <w:numPr>
          <w:ilvl w:val="2"/>
          <w:numId w:val="27"/>
        </w:numPr>
        <w:spacing w:line="360" w:lineRule="auto"/>
        <w:ind w:left="1134"/>
        <w:jc w:val="both"/>
        <w:rPr>
          <w:rFonts w:ascii="Verdana" w:hAnsi="Verdana" w:cs="Times New Roman"/>
          <w:sz w:val="16"/>
          <w:szCs w:val="16"/>
        </w:rPr>
      </w:pPr>
      <w:r w:rsidRPr="00F04478">
        <w:rPr>
          <w:rFonts w:ascii="Verdana" w:hAnsi="Verdana" w:cs="Times New Roman"/>
          <w:sz w:val="16"/>
          <w:szCs w:val="16"/>
        </w:rPr>
        <w:t xml:space="preserve">Możliwość automatycznego wysłania wiadomości SMS oraz wykonania głosowego połączenia telefonicznego na określone numery w przypadku wystąpienia alarmu krytycznego procesora </w:t>
      </w:r>
      <w:r w:rsidRPr="00F04478">
        <w:rPr>
          <w:rFonts w:ascii="Verdana" w:hAnsi="Verdana" w:cs="Times New Roman"/>
          <w:sz w:val="16"/>
          <w:szCs w:val="16"/>
        </w:rPr>
        <w:lastRenderedPageBreak/>
        <w:t xml:space="preserve">odczytywanego z portu RS232 procesora oraz styków </w:t>
      </w:r>
      <w:proofErr w:type="spellStart"/>
      <w:r w:rsidRPr="00F04478">
        <w:rPr>
          <w:rFonts w:ascii="Verdana" w:hAnsi="Verdana" w:cs="Times New Roman"/>
          <w:sz w:val="16"/>
          <w:szCs w:val="16"/>
        </w:rPr>
        <w:t>bezpotencjałowych</w:t>
      </w:r>
      <w:proofErr w:type="spellEnd"/>
      <w:r w:rsidRPr="00F04478">
        <w:rPr>
          <w:rFonts w:ascii="Verdana" w:hAnsi="Verdana" w:cs="Times New Roman"/>
          <w:sz w:val="16"/>
          <w:szCs w:val="16"/>
        </w:rPr>
        <w:t>. Kartę SIM do wykonywania opisanych połączeń zapewnia Zamawiający.</w:t>
      </w:r>
    </w:p>
    <w:p w14:paraId="194E44B3" w14:textId="69E60D8F" w:rsidR="009E4757" w:rsidRPr="00F04478" w:rsidRDefault="009E4757" w:rsidP="00F04478">
      <w:pPr>
        <w:pStyle w:val="Akapitzlist"/>
        <w:numPr>
          <w:ilvl w:val="1"/>
          <w:numId w:val="13"/>
        </w:numPr>
        <w:spacing w:line="360" w:lineRule="auto"/>
        <w:ind w:left="567"/>
        <w:jc w:val="both"/>
        <w:rPr>
          <w:rFonts w:ascii="Verdana" w:hAnsi="Verdana" w:cs="Times New Roman"/>
          <w:sz w:val="16"/>
          <w:szCs w:val="16"/>
        </w:rPr>
      </w:pPr>
      <w:r w:rsidRPr="00F04478">
        <w:rPr>
          <w:rFonts w:ascii="Verdana" w:hAnsi="Verdana" w:cs="Times New Roman"/>
          <w:sz w:val="16"/>
          <w:szCs w:val="16"/>
        </w:rPr>
        <w:t>Współpraca z pH-metrami</w:t>
      </w:r>
    </w:p>
    <w:p w14:paraId="6AAE3E06" w14:textId="608A35F3" w:rsidR="009E4757" w:rsidRPr="00F04478" w:rsidRDefault="009E4757" w:rsidP="00F04478">
      <w:pPr>
        <w:pStyle w:val="Akapitzlist"/>
        <w:numPr>
          <w:ilvl w:val="2"/>
          <w:numId w:val="13"/>
        </w:numPr>
        <w:spacing w:line="360" w:lineRule="auto"/>
        <w:ind w:left="993"/>
        <w:jc w:val="both"/>
        <w:rPr>
          <w:rFonts w:ascii="Verdana" w:hAnsi="Verdana" w:cs="Times New Roman"/>
          <w:sz w:val="16"/>
          <w:szCs w:val="16"/>
        </w:rPr>
      </w:pPr>
      <w:bookmarkStart w:id="16" w:name="_Ref177024841"/>
      <w:r w:rsidRPr="00F04478">
        <w:rPr>
          <w:rFonts w:ascii="Verdana" w:hAnsi="Verdana" w:cs="Times New Roman"/>
          <w:sz w:val="16"/>
          <w:szCs w:val="16"/>
        </w:rPr>
        <w:t>Współpraca z pH-metrami do pomiaru pH substancji utrwalającej (np. formaliny) podłączanymi do stanowiska komputerowego z uruchomionym systemem.</w:t>
      </w:r>
      <w:bookmarkEnd w:id="16"/>
    </w:p>
    <w:p w14:paraId="398E5275" w14:textId="2E1BD7B7" w:rsidR="009E4757" w:rsidRPr="00F04478" w:rsidRDefault="009E4757"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Możliwość zdefiniowania częstotliwości losowania do pomiaru pH zdefiniowanych typów materiałów i substancji utrwalających, a także dopuszczalnego prawidłowego zakresu pomiarowego z dokładnością do 2 miejsc po przecinku.</w:t>
      </w:r>
    </w:p>
    <w:p w14:paraId="23FE2A06" w14:textId="1EBB23BD" w:rsidR="009E4757" w:rsidRPr="00F04478" w:rsidRDefault="009E4757" w:rsidP="00F04478">
      <w:pPr>
        <w:pStyle w:val="Akapitzlist"/>
        <w:numPr>
          <w:ilvl w:val="2"/>
          <w:numId w:val="13"/>
        </w:numPr>
        <w:spacing w:line="360" w:lineRule="auto"/>
        <w:ind w:left="993"/>
        <w:jc w:val="both"/>
        <w:rPr>
          <w:rFonts w:ascii="Verdana" w:hAnsi="Verdana" w:cs="Times New Roman"/>
          <w:sz w:val="16"/>
          <w:szCs w:val="16"/>
        </w:rPr>
      </w:pPr>
      <w:bookmarkStart w:id="17" w:name="_Ref177024857"/>
      <w:r w:rsidRPr="00F04478">
        <w:rPr>
          <w:rFonts w:ascii="Verdana" w:hAnsi="Verdana" w:cs="Times New Roman"/>
          <w:sz w:val="16"/>
          <w:szCs w:val="16"/>
        </w:rPr>
        <w:t>System musi zapobiegać podjęcia dalszych czynności na materiale (np. wykrawania materiału) do momentu uzyskania pomiaru pH, o ile materiał został wylosowany przez system do pomiaru pH.</w:t>
      </w:r>
      <w:bookmarkEnd w:id="17"/>
    </w:p>
    <w:p w14:paraId="689EE1A6" w14:textId="3F2A40C0" w:rsidR="009E4757" w:rsidRPr="00F04478" w:rsidRDefault="009E4757" w:rsidP="00F04478">
      <w:pPr>
        <w:pStyle w:val="Akapitzlist"/>
        <w:numPr>
          <w:ilvl w:val="2"/>
          <w:numId w:val="13"/>
        </w:numPr>
        <w:spacing w:line="360" w:lineRule="auto"/>
        <w:ind w:left="993"/>
        <w:jc w:val="both"/>
        <w:rPr>
          <w:rFonts w:ascii="Verdana" w:hAnsi="Verdana" w:cs="Times New Roman"/>
          <w:sz w:val="16"/>
          <w:szCs w:val="16"/>
        </w:rPr>
      </w:pPr>
      <w:bookmarkStart w:id="18" w:name="_Ref177024869"/>
      <w:r w:rsidRPr="00F04478">
        <w:rPr>
          <w:rFonts w:ascii="Verdana" w:hAnsi="Verdana" w:cs="Times New Roman"/>
          <w:sz w:val="16"/>
          <w:szCs w:val="16"/>
        </w:rPr>
        <w:t>Automatyczne pobieranie wyniku pomiaru z urządzenia z dokładnością do 2 miejsc po przecinku, w momencie wykonywania pomiaru i zapis jego wartości w kontekście materiału przy użyciu dedykowanej funkcji stanowiskowej oraz w formatce ekranowej związanej z edycją materiału.</w:t>
      </w:r>
      <w:bookmarkEnd w:id="18"/>
    </w:p>
    <w:p w14:paraId="3243835C" w14:textId="10EBA262" w:rsidR="009E4757" w:rsidRPr="00F04478" w:rsidRDefault="009E4757" w:rsidP="00F04478">
      <w:pPr>
        <w:pStyle w:val="Akapitzlist"/>
        <w:numPr>
          <w:ilvl w:val="2"/>
          <w:numId w:val="13"/>
        </w:numPr>
        <w:spacing w:line="360" w:lineRule="auto"/>
        <w:ind w:left="993"/>
        <w:jc w:val="both"/>
        <w:rPr>
          <w:rFonts w:ascii="Verdana" w:hAnsi="Verdana" w:cs="Times New Roman"/>
          <w:sz w:val="16"/>
          <w:szCs w:val="16"/>
        </w:rPr>
      </w:pPr>
      <w:r w:rsidRPr="00F04478">
        <w:rPr>
          <w:rFonts w:ascii="Verdana" w:hAnsi="Verdana" w:cs="Times New Roman"/>
          <w:sz w:val="16"/>
          <w:szCs w:val="16"/>
        </w:rPr>
        <w:t>Automatyczne dodanie zdarzenia kontroli jakości w przypadku, gdy zmierzona wartość pH wykracza poza zdefiniowany dla danego typu materiału prawidłowy zakres.</w:t>
      </w:r>
    </w:p>
    <w:p w14:paraId="29F8CECB" w14:textId="16C202E0" w:rsidR="0024684D" w:rsidRPr="00F04478" w:rsidRDefault="009E4757" w:rsidP="00F04478">
      <w:pPr>
        <w:pStyle w:val="Akapitzlist"/>
        <w:numPr>
          <w:ilvl w:val="2"/>
          <w:numId w:val="13"/>
        </w:numPr>
        <w:spacing w:line="360" w:lineRule="auto"/>
        <w:ind w:left="993"/>
        <w:jc w:val="both"/>
        <w:rPr>
          <w:rFonts w:ascii="Verdana" w:hAnsi="Verdana" w:cs="Times New Roman"/>
          <w:sz w:val="16"/>
          <w:szCs w:val="16"/>
        </w:rPr>
      </w:pPr>
      <w:bookmarkStart w:id="19" w:name="_Ref177024880"/>
      <w:r w:rsidRPr="00F04478">
        <w:rPr>
          <w:rFonts w:ascii="Verdana" w:hAnsi="Verdana" w:cs="Times New Roman"/>
          <w:sz w:val="16"/>
          <w:szCs w:val="16"/>
        </w:rPr>
        <w:t>Automatyczne dodanie informacyjnego zdarzenia kontroli jakości w przypadku, gdy zmierzona wartość pH mieści się w zdefiniowanym dla danego typu materiału prawidłowym zakresie.</w:t>
      </w:r>
      <w:bookmarkEnd w:id="19"/>
    </w:p>
    <w:p w14:paraId="4EB6D518" w14:textId="77881048" w:rsidR="00721F4D" w:rsidRPr="005F0AA8" w:rsidRDefault="00721F4D" w:rsidP="00F04478">
      <w:pPr>
        <w:pStyle w:val="Akapitzlist"/>
        <w:numPr>
          <w:ilvl w:val="2"/>
          <w:numId w:val="13"/>
        </w:numPr>
        <w:spacing w:line="360" w:lineRule="auto"/>
        <w:ind w:left="993"/>
        <w:jc w:val="both"/>
        <w:rPr>
          <w:rFonts w:cs="Times New Roman"/>
          <w:sz w:val="22"/>
          <w:szCs w:val="22"/>
        </w:rPr>
      </w:pPr>
      <w:r w:rsidRPr="00F04478">
        <w:rPr>
          <w:rFonts w:ascii="Verdana" w:hAnsi="Verdana" w:cs="Times New Roman"/>
          <w:sz w:val="16"/>
          <w:szCs w:val="16"/>
        </w:rPr>
        <w:t xml:space="preserve">W ramach wdrożenia Wykonawca wykona integrację z następującym pH-metrem będącym w posiadaniu Zamawiającego: </w:t>
      </w:r>
      <w:proofErr w:type="spellStart"/>
      <w:r w:rsidRPr="00F04478">
        <w:rPr>
          <w:rFonts w:ascii="Verdana" w:hAnsi="Verdana" w:cs="Times New Roman"/>
          <w:sz w:val="16"/>
          <w:szCs w:val="16"/>
        </w:rPr>
        <w:t>Mettler</w:t>
      </w:r>
      <w:proofErr w:type="spellEnd"/>
      <w:r w:rsidRPr="00F04478">
        <w:rPr>
          <w:rFonts w:ascii="Verdana" w:hAnsi="Verdana" w:cs="Times New Roman"/>
          <w:sz w:val="16"/>
          <w:szCs w:val="16"/>
        </w:rPr>
        <w:t xml:space="preserve"> Toledo </w:t>
      </w:r>
      <w:proofErr w:type="spellStart"/>
      <w:r w:rsidRPr="00F04478">
        <w:rPr>
          <w:rFonts w:ascii="Verdana" w:hAnsi="Verdana" w:cs="Times New Roman"/>
          <w:sz w:val="16"/>
          <w:szCs w:val="16"/>
        </w:rPr>
        <w:t>FiveEasy</w:t>
      </w:r>
      <w:proofErr w:type="spellEnd"/>
      <w:r w:rsidRPr="00F04478">
        <w:rPr>
          <w:rFonts w:ascii="Verdana" w:hAnsi="Verdana" w:cs="Times New Roman"/>
          <w:sz w:val="16"/>
          <w:szCs w:val="16"/>
        </w:rPr>
        <w:t xml:space="preserve"> PLUS FP20</w:t>
      </w:r>
      <w:r w:rsidR="008C1A6E" w:rsidRPr="00F04478">
        <w:rPr>
          <w:rFonts w:ascii="Verdana" w:hAnsi="Verdana" w:cs="Times New Roman"/>
          <w:sz w:val="16"/>
          <w:szCs w:val="16"/>
        </w:rPr>
        <w:t xml:space="preserve"> Standar</w:t>
      </w:r>
      <w:r w:rsidR="008C1A6E" w:rsidRPr="005F0AA8">
        <w:rPr>
          <w:rFonts w:cs="Times New Roman"/>
          <w:sz w:val="22"/>
          <w:szCs w:val="22"/>
        </w:rPr>
        <w:t>d Kit.</w:t>
      </w:r>
    </w:p>
    <w:sectPr w:rsidR="00721F4D" w:rsidRPr="005F0AA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D1917" w14:textId="77777777" w:rsidR="009C20F9" w:rsidRDefault="009C20F9" w:rsidP="00344018">
      <w:pPr>
        <w:spacing w:after="0" w:line="240" w:lineRule="auto"/>
      </w:pPr>
      <w:r>
        <w:separator/>
      </w:r>
    </w:p>
  </w:endnote>
  <w:endnote w:type="continuationSeparator" w:id="0">
    <w:p w14:paraId="54F98AD2" w14:textId="77777777" w:rsidR="009C20F9" w:rsidRDefault="009C20F9" w:rsidP="00344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4"/>
        <w:szCs w:val="14"/>
      </w:rPr>
      <w:id w:val="-1659768700"/>
      <w:docPartObj>
        <w:docPartGallery w:val="Page Numbers (Bottom of Page)"/>
        <w:docPartUnique/>
      </w:docPartObj>
    </w:sdtPr>
    <w:sdtContent>
      <w:sdt>
        <w:sdtPr>
          <w:rPr>
            <w:rFonts w:ascii="Verdana" w:hAnsi="Verdana"/>
            <w:sz w:val="14"/>
            <w:szCs w:val="14"/>
          </w:rPr>
          <w:id w:val="-1769616900"/>
          <w:docPartObj>
            <w:docPartGallery w:val="Page Numbers (Top of Page)"/>
            <w:docPartUnique/>
          </w:docPartObj>
        </w:sdtPr>
        <w:sdtContent>
          <w:p w14:paraId="6B85D2D8" w14:textId="42D6BCCF" w:rsidR="00D70A23" w:rsidRPr="00F04478" w:rsidRDefault="00D70A23">
            <w:pPr>
              <w:pStyle w:val="Stopka"/>
              <w:jc w:val="right"/>
              <w:rPr>
                <w:rFonts w:ascii="Verdana" w:hAnsi="Verdana"/>
                <w:sz w:val="14"/>
                <w:szCs w:val="14"/>
              </w:rPr>
            </w:pPr>
            <w:r w:rsidRPr="00F04478">
              <w:rPr>
                <w:rFonts w:ascii="Verdana" w:hAnsi="Verdana"/>
                <w:sz w:val="14"/>
                <w:szCs w:val="14"/>
              </w:rPr>
              <w:t xml:space="preserve">Strona </w:t>
            </w:r>
            <w:r w:rsidRPr="00F04478">
              <w:rPr>
                <w:rFonts w:ascii="Verdana" w:hAnsi="Verdana"/>
                <w:b/>
                <w:bCs/>
                <w:sz w:val="14"/>
                <w:szCs w:val="14"/>
              </w:rPr>
              <w:fldChar w:fldCharType="begin"/>
            </w:r>
            <w:r w:rsidRPr="00F04478">
              <w:rPr>
                <w:rFonts w:ascii="Verdana" w:hAnsi="Verdana"/>
                <w:b/>
                <w:bCs/>
                <w:sz w:val="14"/>
                <w:szCs w:val="14"/>
              </w:rPr>
              <w:instrText>PAGE</w:instrText>
            </w:r>
            <w:r w:rsidRPr="00F04478">
              <w:rPr>
                <w:rFonts w:ascii="Verdana" w:hAnsi="Verdana"/>
                <w:b/>
                <w:bCs/>
                <w:sz w:val="14"/>
                <w:szCs w:val="14"/>
              </w:rPr>
              <w:fldChar w:fldCharType="separate"/>
            </w:r>
            <w:r w:rsidR="005F0AA8" w:rsidRPr="00F04478">
              <w:rPr>
                <w:rFonts w:ascii="Verdana" w:hAnsi="Verdana"/>
                <w:b/>
                <w:bCs/>
                <w:noProof/>
                <w:sz w:val="14"/>
                <w:szCs w:val="14"/>
              </w:rPr>
              <w:t>22</w:t>
            </w:r>
            <w:r w:rsidRPr="00F04478">
              <w:rPr>
                <w:rFonts w:ascii="Verdana" w:hAnsi="Verdana"/>
                <w:b/>
                <w:bCs/>
                <w:sz w:val="14"/>
                <w:szCs w:val="14"/>
              </w:rPr>
              <w:fldChar w:fldCharType="end"/>
            </w:r>
            <w:r w:rsidRPr="00F04478">
              <w:rPr>
                <w:rFonts w:ascii="Verdana" w:hAnsi="Verdana"/>
                <w:sz w:val="14"/>
                <w:szCs w:val="14"/>
              </w:rPr>
              <w:t xml:space="preserve"> z </w:t>
            </w:r>
            <w:r w:rsidRPr="00F04478">
              <w:rPr>
                <w:rFonts w:ascii="Verdana" w:hAnsi="Verdana"/>
                <w:b/>
                <w:bCs/>
                <w:sz w:val="14"/>
                <w:szCs w:val="14"/>
              </w:rPr>
              <w:fldChar w:fldCharType="begin"/>
            </w:r>
            <w:r w:rsidRPr="00F04478">
              <w:rPr>
                <w:rFonts w:ascii="Verdana" w:hAnsi="Verdana"/>
                <w:b/>
                <w:bCs/>
                <w:sz w:val="14"/>
                <w:szCs w:val="14"/>
              </w:rPr>
              <w:instrText>NUMPAGES</w:instrText>
            </w:r>
            <w:r w:rsidRPr="00F04478">
              <w:rPr>
                <w:rFonts w:ascii="Verdana" w:hAnsi="Verdana"/>
                <w:b/>
                <w:bCs/>
                <w:sz w:val="14"/>
                <w:szCs w:val="14"/>
              </w:rPr>
              <w:fldChar w:fldCharType="separate"/>
            </w:r>
            <w:r w:rsidR="005F0AA8" w:rsidRPr="00F04478">
              <w:rPr>
                <w:rFonts w:ascii="Verdana" w:hAnsi="Verdana"/>
                <w:b/>
                <w:bCs/>
                <w:noProof/>
                <w:sz w:val="14"/>
                <w:szCs w:val="14"/>
              </w:rPr>
              <w:t>27</w:t>
            </w:r>
            <w:r w:rsidRPr="00F04478">
              <w:rPr>
                <w:rFonts w:ascii="Verdana" w:hAnsi="Verdana"/>
                <w:b/>
                <w:bCs/>
                <w:sz w:val="14"/>
                <w:szCs w:val="14"/>
              </w:rPr>
              <w:fldChar w:fldCharType="end"/>
            </w:r>
          </w:p>
        </w:sdtContent>
      </w:sdt>
    </w:sdtContent>
  </w:sdt>
  <w:p w14:paraId="4BFEEAE8" w14:textId="77777777" w:rsidR="00344018" w:rsidRPr="00F04478" w:rsidRDefault="00344018">
    <w:pPr>
      <w:pStyle w:val="Stopka"/>
      <w:rPr>
        <w:rFonts w:ascii="Verdana" w:hAnsi="Verdan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7482F" w14:textId="77777777" w:rsidR="009C20F9" w:rsidRDefault="009C20F9" w:rsidP="00344018">
      <w:pPr>
        <w:spacing w:after="0" w:line="240" w:lineRule="auto"/>
      </w:pPr>
      <w:r>
        <w:separator/>
      </w:r>
    </w:p>
  </w:footnote>
  <w:footnote w:type="continuationSeparator" w:id="0">
    <w:p w14:paraId="611FF50D" w14:textId="77777777" w:rsidR="009C20F9" w:rsidRDefault="009C20F9" w:rsidP="003440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0141"/>
    <w:multiLevelType w:val="hybridMultilevel"/>
    <w:tmpl w:val="763AEC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8D21AF"/>
    <w:multiLevelType w:val="multilevel"/>
    <w:tmpl w:val="5D34128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2484081"/>
    <w:multiLevelType w:val="hybridMultilevel"/>
    <w:tmpl w:val="97586F7A"/>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5B824D2"/>
    <w:multiLevelType w:val="hybridMultilevel"/>
    <w:tmpl w:val="8926E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8D3521"/>
    <w:multiLevelType w:val="hybridMultilevel"/>
    <w:tmpl w:val="6E92679A"/>
    <w:lvl w:ilvl="0" w:tplc="6C8230EA">
      <w:start w:val="1"/>
      <w:numFmt w:val="lowerLetter"/>
      <w:lvlText w:val="%1)"/>
      <w:lvlJc w:val="left"/>
      <w:pPr>
        <w:ind w:left="720" w:hanging="360"/>
      </w:pPr>
      <w:rPr>
        <w:rFonts w:hint="default"/>
      </w:rPr>
    </w:lvl>
    <w:lvl w:ilvl="1" w:tplc="4792126C">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102E5F"/>
    <w:multiLevelType w:val="hybridMultilevel"/>
    <w:tmpl w:val="6B9A5060"/>
    <w:lvl w:ilvl="0" w:tplc="3328F902">
      <w:start w:val="1"/>
      <w:numFmt w:val="bullet"/>
      <w:lvlText w:val=""/>
      <w:lvlJc w:val="center"/>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0FB70652"/>
    <w:multiLevelType w:val="multilevel"/>
    <w:tmpl w:val="71FA243E"/>
    <w:styleLink w:val="Moduy"/>
    <w:lvl w:ilvl="0">
      <w:start w:val="1"/>
      <w:numFmt w:val="decimal"/>
      <w:lvlText w:val="%1."/>
      <w:lvlJc w:val="center"/>
      <w:pPr>
        <w:ind w:left="72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1803D9"/>
    <w:multiLevelType w:val="multilevel"/>
    <w:tmpl w:val="6B028F80"/>
    <w:lvl w:ilvl="0">
      <w:start w:val="1"/>
      <w:numFmt w:val="decimal"/>
      <w:lvlText w:val="%1."/>
      <w:lvlJc w:val="left"/>
      <w:pPr>
        <w:ind w:left="360" w:hanging="360"/>
      </w:pPr>
      <w:rPr>
        <w:rFonts w:hint="default"/>
      </w:rPr>
    </w:lvl>
    <w:lvl w:ilvl="1">
      <w:start w:val="1"/>
      <w:numFmt w:val="decimal"/>
      <w:lvlText w:val="%1.%2."/>
      <w:lvlJc w:val="center"/>
      <w:pPr>
        <w:ind w:left="792" w:hanging="432"/>
      </w:pPr>
      <w:rPr>
        <w:rFonts w:hint="default"/>
      </w:rPr>
    </w:lvl>
    <w:lvl w:ilvl="2">
      <w:start w:val="1"/>
      <w:numFmt w:val="decimal"/>
      <w:lvlText w:val="%1.%2.%3."/>
      <w:lvlJc w:val="center"/>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EC22E2"/>
    <w:multiLevelType w:val="hybridMultilevel"/>
    <w:tmpl w:val="E5C44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B22778"/>
    <w:multiLevelType w:val="multilevel"/>
    <w:tmpl w:val="A34889CE"/>
    <w:lvl w:ilvl="0">
      <w:start w:val="1"/>
      <w:numFmt w:val="decimal"/>
      <w:lvlText w:val="%1."/>
      <w:lvlJc w:val="left"/>
      <w:pPr>
        <w:ind w:left="567" w:hanging="207"/>
      </w:pPr>
      <w:rPr>
        <w:rFonts w:hint="default"/>
        <w:b/>
        <w:bCs w:val="0"/>
      </w:rPr>
    </w:lvl>
    <w:lvl w:ilvl="1">
      <w:start w:val="1"/>
      <w:numFmt w:val="decimal"/>
      <w:isLgl/>
      <w:lvlText w:val="%1.%2."/>
      <w:lvlJc w:val="center"/>
      <w:pPr>
        <w:ind w:left="851" w:hanging="491"/>
      </w:pPr>
      <w:rPr>
        <w:rFonts w:hint="default"/>
      </w:rPr>
    </w:lvl>
    <w:lvl w:ilvl="2">
      <w:start w:val="1"/>
      <w:numFmt w:val="decimal"/>
      <w:isLgl/>
      <w:lvlText w:val="%1.%2.%3."/>
      <w:lvlJc w:val="left"/>
      <w:pPr>
        <w:ind w:left="1134" w:hanging="774"/>
      </w:pPr>
      <w:rPr>
        <w:rFonts w:hint="default"/>
      </w:rPr>
    </w:lvl>
    <w:lvl w:ilvl="3">
      <w:start w:val="1"/>
      <w:numFmt w:val="decimal"/>
      <w:isLgl/>
      <w:lvlText w:val="%1.%2.%3.%4."/>
      <w:lvlJc w:val="left"/>
      <w:pPr>
        <w:ind w:left="1418" w:hanging="1058"/>
      </w:pPr>
      <w:rPr>
        <w:rFonts w:hint="default"/>
      </w:rPr>
    </w:lvl>
    <w:lvl w:ilvl="4">
      <w:start w:val="1"/>
      <w:numFmt w:val="decimal"/>
      <w:isLgl/>
      <w:lvlText w:val="%1.%2.%3.%4.%5."/>
      <w:lvlJc w:val="left"/>
      <w:pPr>
        <w:ind w:left="1474" w:hanging="1114"/>
      </w:pPr>
      <w:rPr>
        <w:rFonts w:hint="default"/>
      </w:rPr>
    </w:lvl>
    <w:lvl w:ilvl="5">
      <w:start w:val="1"/>
      <w:numFmt w:val="decimal"/>
      <w:isLgl/>
      <w:lvlText w:val="%1.%2.%3.%4.%5.%6."/>
      <w:lvlJc w:val="left"/>
      <w:pPr>
        <w:ind w:left="1644" w:hanging="1284"/>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E105EF3"/>
    <w:multiLevelType w:val="multilevel"/>
    <w:tmpl w:val="C71C0CF8"/>
    <w:lvl w:ilvl="0">
      <w:start w:val="11"/>
      <w:numFmt w:val="decimal"/>
      <w:lvlText w:val="%1"/>
      <w:lvlJc w:val="left"/>
      <w:pPr>
        <w:ind w:left="585" w:hanging="585"/>
      </w:pPr>
      <w:rPr>
        <w:rFonts w:hint="default"/>
      </w:rPr>
    </w:lvl>
    <w:lvl w:ilvl="1">
      <w:start w:val="4"/>
      <w:numFmt w:val="decimal"/>
      <w:lvlText w:val="%1.%2"/>
      <w:lvlJc w:val="left"/>
      <w:pPr>
        <w:ind w:left="868" w:hanging="58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2F78437D"/>
    <w:multiLevelType w:val="multilevel"/>
    <w:tmpl w:val="71FA243E"/>
    <w:numStyleLink w:val="Moduy"/>
  </w:abstractNum>
  <w:abstractNum w:abstractNumId="12" w15:restartNumberingAfterBreak="0">
    <w:nsid w:val="31A96BDB"/>
    <w:multiLevelType w:val="hybridMultilevel"/>
    <w:tmpl w:val="E5302660"/>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38B77E4C"/>
    <w:multiLevelType w:val="multilevel"/>
    <w:tmpl w:val="A34889CE"/>
    <w:lvl w:ilvl="0">
      <w:start w:val="1"/>
      <w:numFmt w:val="decimal"/>
      <w:lvlText w:val="%1."/>
      <w:lvlJc w:val="left"/>
      <w:pPr>
        <w:ind w:left="567" w:hanging="207"/>
      </w:pPr>
      <w:rPr>
        <w:rFonts w:hint="default"/>
        <w:b/>
        <w:bCs w:val="0"/>
      </w:rPr>
    </w:lvl>
    <w:lvl w:ilvl="1">
      <w:start w:val="1"/>
      <w:numFmt w:val="decimal"/>
      <w:isLgl/>
      <w:lvlText w:val="%1.%2."/>
      <w:lvlJc w:val="center"/>
      <w:pPr>
        <w:ind w:left="851" w:hanging="491"/>
      </w:pPr>
      <w:rPr>
        <w:rFonts w:hint="default"/>
      </w:rPr>
    </w:lvl>
    <w:lvl w:ilvl="2">
      <w:start w:val="1"/>
      <w:numFmt w:val="decimal"/>
      <w:isLgl/>
      <w:lvlText w:val="%1.%2.%3."/>
      <w:lvlJc w:val="left"/>
      <w:pPr>
        <w:ind w:left="1134" w:hanging="774"/>
      </w:pPr>
      <w:rPr>
        <w:rFonts w:hint="default"/>
      </w:rPr>
    </w:lvl>
    <w:lvl w:ilvl="3">
      <w:start w:val="1"/>
      <w:numFmt w:val="decimal"/>
      <w:isLgl/>
      <w:lvlText w:val="%1.%2.%3.%4."/>
      <w:lvlJc w:val="left"/>
      <w:pPr>
        <w:ind w:left="1418" w:hanging="1058"/>
      </w:pPr>
      <w:rPr>
        <w:rFonts w:hint="default"/>
      </w:rPr>
    </w:lvl>
    <w:lvl w:ilvl="4">
      <w:start w:val="1"/>
      <w:numFmt w:val="decimal"/>
      <w:isLgl/>
      <w:lvlText w:val="%1.%2.%3.%4.%5."/>
      <w:lvlJc w:val="left"/>
      <w:pPr>
        <w:ind w:left="1474" w:hanging="1114"/>
      </w:pPr>
      <w:rPr>
        <w:rFonts w:hint="default"/>
      </w:rPr>
    </w:lvl>
    <w:lvl w:ilvl="5">
      <w:start w:val="1"/>
      <w:numFmt w:val="decimal"/>
      <w:isLgl/>
      <w:lvlText w:val="%1.%2.%3.%4.%5.%6."/>
      <w:lvlJc w:val="left"/>
      <w:pPr>
        <w:ind w:left="1644" w:hanging="1284"/>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ACE2065"/>
    <w:multiLevelType w:val="hybridMultilevel"/>
    <w:tmpl w:val="CBDC55D6"/>
    <w:lvl w:ilvl="0" w:tplc="6C8230EA">
      <w:start w:val="1"/>
      <w:numFmt w:val="lowerLetter"/>
      <w:lvlText w:val="%1)"/>
      <w:lvlJc w:val="left"/>
      <w:pPr>
        <w:ind w:left="720" w:hanging="360"/>
      </w:pPr>
      <w:rPr>
        <w:rFonts w:hint="default"/>
      </w:rPr>
    </w:lvl>
    <w:lvl w:ilvl="1" w:tplc="7980BE50">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FA42C5"/>
    <w:multiLevelType w:val="hybridMultilevel"/>
    <w:tmpl w:val="9F006D5E"/>
    <w:lvl w:ilvl="0" w:tplc="3328F902">
      <w:start w:val="1"/>
      <w:numFmt w:val="bullet"/>
      <w:lvlText w:val=""/>
      <w:lvlJc w:val="center"/>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3F724738"/>
    <w:multiLevelType w:val="hybridMultilevel"/>
    <w:tmpl w:val="F25AE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343759"/>
    <w:multiLevelType w:val="multilevel"/>
    <w:tmpl w:val="9A287BF4"/>
    <w:lvl w:ilvl="0">
      <w:start w:val="11"/>
      <w:numFmt w:val="decimal"/>
      <w:lvlText w:val="%1"/>
      <w:lvlJc w:val="left"/>
      <w:pPr>
        <w:ind w:left="585" w:hanging="585"/>
      </w:pPr>
      <w:rPr>
        <w:rFonts w:hint="default"/>
      </w:rPr>
    </w:lvl>
    <w:lvl w:ilvl="1">
      <w:start w:val="5"/>
      <w:numFmt w:val="decimal"/>
      <w:lvlText w:val="%1.%2"/>
      <w:lvlJc w:val="left"/>
      <w:pPr>
        <w:ind w:left="940" w:hanging="58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8" w15:restartNumberingAfterBreak="0">
    <w:nsid w:val="42545830"/>
    <w:multiLevelType w:val="hybridMultilevel"/>
    <w:tmpl w:val="0A56EB84"/>
    <w:lvl w:ilvl="0" w:tplc="D57CA5FA">
      <w:start w:val="2"/>
      <w:numFmt w:val="bullet"/>
      <w:lvlText w:val="•"/>
      <w:lvlJc w:val="left"/>
      <w:pPr>
        <w:ind w:left="720" w:hanging="360"/>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C80218B"/>
    <w:multiLevelType w:val="hybridMultilevel"/>
    <w:tmpl w:val="33CEC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74542F6"/>
    <w:multiLevelType w:val="hybridMultilevel"/>
    <w:tmpl w:val="4E30ED5C"/>
    <w:lvl w:ilvl="0" w:tplc="0415000F">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5C894C4D"/>
    <w:multiLevelType w:val="hybridMultilevel"/>
    <w:tmpl w:val="D18EB816"/>
    <w:lvl w:ilvl="0" w:tplc="7980BE50">
      <w:start w:val="1"/>
      <w:numFmt w:val="lowerLetter"/>
      <w:lvlText w:val="%1."/>
      <w:lvlJc w:val="left"/>
      <w:pPr>
        <w:ind w:left="257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2" w15:restartNumberingAfterBreak="0">
    <w:nsid w:val="5D9D2D18"/>
    <w:multiLevelType w:val="hybridMultilevel"/>
    <w:tmpl w:val="F0684DC8"/>
    <w:lvl w:ilvl="0" w:tplc="EBBC21DA">
      <w:start w:val="2"/>
      <w:numFmt w:val="bullet"/>
      <w:lvlText w:val="•"/>
      <w:lvlJc w:val="left"/>
      <w:pPr>
        <w:ind w:left="1068" w:hanging="708"/>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FE524C3"/>
    <w:multiLevelType w:val="hybridMultilevel"/>
    <w:tmpl w:val="BAF83C1C"/>
    <w:lvl w:ilvl="0" w:tplc="6C8230EA">
      <w:start w:val="1"/>
      <w:numFmt w:val="lowerLetter"/>
      <w:lvlText w:val="%1)"/>
      <w:lvlJc w:val="left"/>
      <w:pPr>
        <w:ind w:left="720" w:hanging="360"/>
      </w:pPr>
      <w:rPr>
        <w:rFonts w:hint="default"/>
        <w:color w:val="auto"/>
      </w:rPr>
    </w:lvl>
    <w:lvl w:ilvl="1" w:tplc="7206F2B2">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2275E9"/>
    <w:multiLevelType w:val="hybridMultilevel"/>
    <w:tmpl w:val="7C30B3A8"/>
    <w:lvl w:ilvl="0" w:tplc="6C8230EA">
      <w:start w:val="1"/>
      <w:numFmt w:val="lowerLetter"/>
      <w:lvlText w:val="%1)"/>
      <w:lvlJc w:val="left"/>
      <w:pPr>
        <w:ind w:left="720" w:hanging="360"/>
      </w:pPr>
      <w:rPr>
        <w:rFonts w:hint="default"/>
      </w:rPr>
    </w:lvl>
    <w:lvl w:ilvl="1" w:tplc="C42A2FA4">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66B570E"/>
    <w:multiLevelType w:val="multilevel"/>
    <w:tmpl w:val="BAC22E90"/>
    <w:lvl w:ilvl="0">
      <w:start w:val="1"/>
      <w:numFmt w:val="decimal"/>
      <w:lvlText w:val="%1."/>
      <w:lvlJc w:val="left"/>
      <w:pPr>
        <w:ind w:left="360" w:hanging="360"/>
      </w:pPr>
      <w:rPr>
        <w:rFonts w:hint="default"/>
        <w:b w:val="0"/>
        <w:bCs/>
      </w:rPr>
    </w:lvl>
    <w:lvl w:ilvl="1">
      <w:start w:val="1"/>
      <w:numFmt w:val="decimal"/>
      <w:lvlText w:val="%1.%2."/>
      <w:lvlJc w:val="left"/>
      <w:pPr>
        <w:ind w:left="907" w:hanging="547"/>
      </w:pPr>
      <w:rPr>
        <w:rFonts w:hint="default"/>
      </w:rPr>
    </w:lvl>
    <w:lvl w:ilvl="2">
      <w:start w:val="1"/>
      <w:numFmt w:val="decimal"/>
      <w:lvlText w:val="%1.%2.%3."/>
      <w:lvlJc w:val="left"/>
      <w:pPr>
        <w:ind w:left="1719" w:hanging="584"/>
      </w:pPr>
      <w:rPr>
        <w:rFonts w:hint="default"/>
        <w:i w:val="0"/>
        <w:iCs w:val="0"/>
      </w:rPr>
    </w:lvl>
    <w:lvl w:ilvl="3">
      <w:start w:val="1"/>
      <w:numFmt w:val="decimal"/>
      <w:lvlText w:val="%1.%2.%3.%4."/>
      <w:lvlJc w:val="left"/>
      <w:pPr>
        <w:ind w:left="1814" w:hanging="734"/>
      </w:pPr>
      <w:rPr>
        <w:rFonts w:hint="default"/>
        <w:i w:val="0"/>
        <w:i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8A605C"/>
    <w:multiLevelType w:val="hybridMultilevel"/>
    <w:tmpl w:val="0B144B16"/>
    <w:lvl w:ilvl="0" w:tplc="5EC05A84">
      <w:numFmt w:val="bullet"/>
      <w:lvlText w:val="•"/>
      <w:lvlJc w:val="left"/>
      <w:pPr>
        <w:ind w:left="1068" w:hanging="708"/>
      </w:pPr>
      <w:rPr>
        <w:rFonts w:ascii="Times New Roman" w:eastAsiaTheme="minorHAns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E2E7F57"/>
    <w:multiLevelType w:val="hybridMultilevel"/>
    <w:tmpl w:val="E07A2A72"/>
    <w:lvl w:ilvl="0" w:tplc="7206F2B2">
      <w:start w:val="1"/>
      <w:numFmt w:val="decimal"/>
      <w:lvlText w:val="%1."/>
      <w:lvlJc w:val="left"/>
      <w:pPr>
        <w:ind w:left="229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num w:numId="1" w16cid:durableId="1452939501">
    <w:abstractNumId w:val="8"/>
  </w:num>
  <w:num w:numId="2" w16cid:durableId="1719165207">
    <w:abstractNumId w:val="26"/>
  </w:num>
  <w:num w:numId="3" w16cid:durableId="222110303">
    <w:abstractNumId w:val="3"/>
  </w:num>
  <w:num w:numId="4" w16cid:durableId="2127502611">
    <w:abstractNumId w:val="22"/>
  </w:num>
  <w:num w:numId="5" w16cid:durableId="2069759512">
    <w:abstractNumId w:val="19"/>
  </w:num>
  <w:num w:numId="6" w16cid:durableId="412631359">
    <w:abstractNumId w:val="18"/>
  </w:num>
  <w:num w:numId="7" w16cid:durableId="1956714764">
    <w:abstractNumId w:val="16"/>
  </w:num>
  <w:num w:numId="8" w16cid:durableId="1109937499">
    <w:abstractNumId w:val="0"/>
  </w:num>
  <w:num w:numId="9" w16cid:durableId="1605839387">
    <w:abstractNumId w:val="24"/>
  </w:num>
  <w:num w:numId="10" w16cid:durableId="161354542">
    <w:abstractNumId w:val="4"/>
  </w:num>
  <w:num w:numId="11" w16cid:durableId="1747191908">
    <w:abstractNumId w:val="14"/>
  </w:num>
  <w:num w:numId="12" w16cid:durableId="1028261053">
    <w:abstractNumId w:val="23"/>
  </w:num>
  <w:num w:numId="13" w16cid:durableId="1490901425">
    <w:abstractNumId w:val="25"/>
  </w:num>
  <w:num w:numId="14" w16cid:durableId="252594696">
    <w:abstractNumId w:val="1"/>
  </w:num>
  <w:num w:numId="15" w16cid:durableId="2090541029">
    <w:abstractNumId w:val="6"/>
  </w:num>
  <w:num w:numId="16" w16cid:durableId="815489127">
    <w:abstractNumId w:val="11"/>
  </w:num>
  <w:num w:numId="17" w16cid:durableId="402264872">
    <w:abstractNumId w:val="15"/>
  </w:num>
  <w:num w:numId="18" w16cid:durableId="1183779952">
    <w:abstractNumId w:val="13"/>
  </w:num>
  <w:num w:numId="19" w16cid:durableId="860512888">
    <w:abstractNumId w:val="9"/>
  </w:num>
  <w:num w:numId="20" w16cid:durableId="1683628962">
    <w:abstractNumId w:val="27"/>
  </w:num>
  <w:num w:numId="21" w16cid:durableId="1059207036">
    <w:abstractNumId w:val="21"/>
  </w:num>
  <w:num w:numId="22" w16cid:durableId="961496414">
    <w:abstractNumId w:val="2"/>
  </w:num>
  <w:num w:numId="23" w16cid:durableId="1138768578">
    <w:abstractNumId w:val="20"/>
  </w:num>
  <w:num w:numId="24" w16cid:durableId="2143764360">
    <w:abstractNumId w:val="12"/>
  </w:num>
  <w:num w:numId="25" w16cid:durableId="1065686822">
    <w:abstractNumId w:val="5"/>
  </w:num>
  <w:num w:numId="26" w16cid:durableId="1196041595">
    <w:abstractNumId w:val="10"/>
  </w:num>
  <w:num w:numId="27" w16cid:durableId="1049574427">
    <w:abstractNumId w:val="17"/>
  </w:num>
  <w:num w:numId="28" w16cid:durableId="14381404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DE3"/>
    <w:rsid w:val="00004AF9"/>
    <w:rsid w:val="000316DB"/>
    <w:rsid w:val="00056920"/>
    <w:rsid w:val="000652A0"/>
    <w:rsid w:val="0006659A"/>
    <w:rsid w:val="00067608"/>
    <w:rsid w:val="00072899"/>
    <w:rsid w:val="00074332"/>
    <w:rsid w:val="00075918"/>
    <w:rsid w:val="0007755F"/>
    <w:rsid w:val="00090EC0"/>
    <w:rsid w:val="000912BD"/>
    <w:rsid w:val="00093001"/>
    <w:rsid w:val="000939B3"/>
    <w:rsid w:val="000C1B21"/>
    <w:rsid w:val="000F6C6B"/>
    <w:rsid w:val="000F7340"/>
    <w:rsid w:val="00102DB6"/>
    <w:rsid w:val="00117DC6"/>
    <w:rsid w:val="00122AD5"/>
    <w:rsid w:val="0012744C"/>
    <w:rsid w:val="00131E42"/>
    <w:rsid w:val="001335D1"/>
    <w:rsid w:val="00166CDF"/>
    <w:rsid w:val="00180768"/>
    <w:rsid w:val="001A17A0"/>
    <w:rsid w:val="001B79C1"/>
    <w:rsid w:val="001D2FF5"/>
    <w:rsid w:val="001F6254"/>
    <w:rsid w:val="00217761"/>
    <w:rsid w:val="00223572"/>
    <w:rsid w:val="00226A8A"/>
    <w:rsid w:val="002344EC"/>
    <w:rsid w:val="0024684D"/>
    <w:rsid w:val="00250B01"/>
    <w:rsid w:val="00270DE6"/>
    <w:rsid w:val="00295C07"/>
    <w:rsid w:val="002D067F"/>
    <w:rsid w:val="002D2DF1"/>
    <w:rsid w:val="002D30BD"/>
    <w:rsid w:val="002E3C3E"/>
    <w:rsid w:val="002F78BB"/>
    <w:rsid w:val="0030698B"/>
    <w:rsid w:val="00325DCB"/>
    <w:rsid w:val="00326D85"/>
    <w:rsid w:val="00336B24"/>
    <w:rsid w:val="00344018"/>
    <w:rsid w:val="003506A9"/>
    <w:rsid w:val="0036375E"/>
    <w:rsid w:val="003901DA"/>
    <w:rsid w:val="0039098F"/>
    <w:rsid w:val="003A1C72"/>
    <w:rsid w:val="003A4816"/>
    <w:rsid w:val="003B1D10"/>
    <w:rsid w:val="003E20E5"/>
    <w:rsid w:val="003F0831"/>
    <w:rsid w:val="0040454B"/>
    <w:rsid w:val="004121A9"/>
    <w:rsid w:val="00417F0E"/>
    <w:rsid w:val="0042636C"/>
    <w:rsid w:val="00434133"/>
    <w:rsid w:val="00464A81"/>
    <w:rsid w:val="00481F7B"/>
    <w:rsid w:val="00484ECD"/>
    <w:rsid w:val="004A14C2"/>
    <w:rsid w:val="004B45DF"/>
    <w:rsid w:val="004C7B51"/>
    <w:rsid w:val="00523F34"/>
    <w:rsid w:val="00570084"/>
    <w:rsid w:val="005C6493"/>
    <w:rsid w:val="005E7C0A"/>
    <w:rsid w:val="005F0AA8"/>
    <w:rsid w:val="005F7F3D"/>
    <w:rsid w:val="00614E7D"/>
    <w:rsid w:val="00622E3C"/>
    <w:rsid w:val="00640309"/>
    <w:rsid w:val="00651000"/>
    <w:rsid w:val="006863B5"/>
    <w:rsid w:val="006A7FEE"/>
    <w:rsid w:val="006F1FCD"/>
    <w:rsid w:val="006F37C1"/>
    <w:rsid w:val="00721F4D"/>
    <w:rsid w:val="0072458A"/>
    <w:rsid w:val="00761202"/>
    <w:rsid w:val="007642BB"/>
    <w:rsid w:val="00796052"/>
    <w:rsid w:val="007D0532"/>
    <w:rsid w:val="007E379F"/>
    <w:rsid w:val="007E6186"/>
    <w:rsid w:val="008001EE"/>
    <w:rsid w:val="00805DEB"/>
    <w:rsid w:val="008246F6"/>
    <w:rsid w:val="00857BCE"/>
    <w:rsid w:val="008856FB"/>
    <w:rsid w:val="008A7983"/>
    <w:rsid w:val="008C1A6E"/>
    <w:rsid w:val="008D4E64"/>
    <w:rsid w:val="008D4FDE"/>
    <w:rsid w:val="008E1C5E"/>
    <w:rsid w:val="008E7EA4"/>
    <w:rsid w:val="008E7F60"/>
    <w:rsid w:val="0090055A"/>
    <w:rsid w:val="009052FE"/>
    <w:rsid w:val="00936E56"/>
    <w:rsid w:val="009414A0"/>
    <w:rsid w:val="00943A0F"/>
    <w:rsid w:val="00946B5F"/>
    <w:rsid w:val="00956AD5"/>
    <w:rsid w:val="009A6A8E"/>
    <w:rsid w:val="009B0E10"/>
    <w:rsid w:val="009B78E5"/>
    <w:rsid w:val="009C20F9"/>
    <w:rsid w:val="009D7F90"/>
    <w:rsid w:val="009E1EC0"/>
    <w:rsid w:val="009E4757"/>
    <w:rsid w:val="009F3E7C"/>
    <w:rsid w:val="00A3586B"/>
    <w:rsid w:val="00A60D60"/>
    <w:rsid w:val="00A73DD2"/>
    <w:rsid w:val="00A748E6"/>
    <w:rsid w:val="00A77686"/>
    <w:rsid w:val="00AA56D9"/>
    <w:rsid w:val="00AA68F0"/>
    <w:rsid w:val="00AB3972"/>
    <w:rsid w:val="00AE0A9D"/>
    <w:rsid w:val="00AE446A"/>
    <w:rsid w:val="00B10813"/>
    <w:rsid w:val="00B24CD1"/>
    <w:rsid w:val="00B25CE2"/>
    <w:rsid w:val="00B271D9"/>
    <w:rsid w:val="00B76D10"/>
    <w:rsid w:val="00B82AC2"/>
    <w:rsid w:val="00B82DE3"/>
    <w:rsid w:val="00B94B05"/>
    <w:rsid w:val="00BC2F2F"/>
    <w:rsid w:val="00C30D49"/>
    <w:rsid w:val="00C56F17"/>
    <w:rsid w:val="00C66BD9"/>
    <w:rsid w:val="00C730C4"/>
    <w:rsid w:val="00C852D0"/>
    <w:rsid w:val="00CA70AF"/>
    <w:rsid w:val="00CC3857"/>
    <w:rsid w:val="00CC6841"/>
    <w:rsid w:val="00CD0621"/>
    <w:rsid w:val="00CF2976"/>
    <w:rsid w:val="00D06C5A"/>
    <w:rsid w:val="00D11B4F"/>
    <w:rsid w:val="00D203C8"/>
    <w:rsid w:val="00D70A23"/>
    <w:rsid w:val="00D72BFC"/>
    <w:rsid w:val="00D76B9C"/>
    <w:rsid w:val="00DB6C46"/>
    <w:rsid w:val="00DE7165"/>
    <w:rsid w:val="00E02D0A"/>
    <w:rsid w:val="00E074B1"/>
    <w:rsid w:val="00E525EE"/>
    <w:rsid w:val="00E67D93"/>
    <w:rsid w:val="00EC3369"/>
    <w:rsid w:val="00EE0F2E"/>
    <w:rsid w:val="00F04478"/>
    <w:rsid w:val="00F07F4F"/>
    <w:rsid w:val="00F5444C"/>
    <w:rsid w:val="00F610CD"/>
    <w:rsid w:val="00F6359D"/>
    <w:rsid w:val="00F7561F"/>
    <w:rsid w:val="00F91A16"/>
    <w:rsid w:val="00F96F2F"/>
    <w:rsid w:val="00FD2094"/>
    <w:rsid w:val="00FD4214"/>
    <w:rsid w:val="00FE62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77F93"/>
  <w15:chartTrackingRefBased/>
  <w15:docId w15:val="{5AEA3301-8171-475E-98DC-DCC9CB505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6A8E"/>
    <w:rPr>
      <w:rFonts w:ascii="Times New Roman" w:hAnsi="Times New Roman"/>
    </w:rPr>
  </w:style>
  <w:style w:type="paragraph" w:styleId="Nagwek1">
    <w:name w:val="heading 1"/>
    <w:basedOn w:val="Normalny"/>
    <w:next w:val="Normalny"/>
    <w:link w:val="Nagwek1Znak"/>
    <w:uiPriority w:val="9"/>
    <w:qFormat/>
    <w:rsid w:val="009A6A8E"/>
    <w:pPr>
      <w:keepNext/>
      <w:keepLines/>
      <w:spacing w:before="360" w:after="80"/>
      <w:outlineLvl w:val="0"/>
    </w:pPr>
    <w:rPr>
      <w:rFonts w:eastAsiaTheme="majorEastAsia" w:cstheme="majorBidi"/>
      <w:color w:val="0F4761" w:themeColor="accent1" w:themeShade="BF"/>
      <w:szCs w:val="40"/>
    </w:rPr>
  </w:style>
  <w:style w:type="paragraph" w:styleId="Nagwek2">
    <w:name w:val="heading 2"/>
    <w:basedOn w:val="Normalny"/>
    <w:next w:val="Normalny"/>
    <w:link w:val="Nagwek2Znak"/>
    <w:uiPriority w:val="9"/>
    <w:unhideWhenUsed/>
    <w:qFormat/>
    <w:rsid w:val="00B82D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82DE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82DE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82DE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82DE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82DE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82DE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82DE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A6A8E"/>
    <w:rPr>
      <w:rFonts w:ascii="Times New Roman" w:eastAsiaTheme="majorEastAsia" w:hAnsi="Times New Roman" w:cstheme="majorBidi"/>
      <w:color w:val="0F4761" w:themeColor="accent1" w:themeShade="BF"/>
      <w:szCs w:val="40"/>
    </w:rPr>
  </w:style>
  <w:style w:type="character" w:customStyle="1" w:styleId="Nagwek2Znak">
    <w:name w:val="Nagłówek 2 Znak"/>
    <w:basedOn w:val="Domylnaczcionkaakapitu"/>
    <w:link w:val="Nagwek2"/>
    <w:uiPriority w:val="9"/>
    <w:rsid w:val="00B82DE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82DE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82DE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82DE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82DE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82DE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82DE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82DE3"/>
    <w:rPr>
      <w:rFonts w:eastAsiaTheme="majorEastAsia" w:cstheme="majorBidi"/>
      <w:color w:val="272727" w:themeColor="text1" w:themeTint="D8"/>
    </w:rPr>
  </w:style>
  <w:style w:type="paragraph" w:styleId="Tytu">
    <w:name w:val="Title"/>
    <w:basedOn w:val="Normalny"/>
    <w:next w:val="Normalny"/>
    <w:link w:val="TytuZnak"/>
    <w:uiPriority w:val="10"/>
    <w:qFormat/>
    <w:rsid w:val="00B82D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82DE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82DE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82DE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82DE3"/>
    <w:pPr>
      <w:spacing w:before="160"/>
      <w:jc w:val="center"/>
    </w:pPr>
    <w:rPr>
      <w:i/>
      <w:iCs/>
      <w:color w:val="404040" w:themeColor="text1" w:themeTint="BF"/>
    </w:rPr>
  </w:style>
  <w:style w:type="character" w:customStyle="1" w:styleId="CytatZnak">
    <w:name w:val="Cytat Znak"/>
    <w:basedOn w:val="Domylnaczcionkaakapitu"/>
    <w:link w:val="Cytat"/>
    <w:uiPriority w:val="29"/>
    <w:rsid w:val="00B82DE3"/>
    <w:rPr>
      <w:i/>
      <w:iCs/>
      <w:color w:val="404040" w:themeColor="text1" w:themeTint="BF"/>
    </w:rPr>
  </w:style>
  <w:style w:type="paragraph" w:styleId="Akapitzlist">
    <w:name w:val="List Paragraph"/>
    <w:basedOn w:val="Normalny"/>
    <w:uiPriority w:val="34"/>
    <w:qFormat/>
    <w:rsid w:val="00B82DE3"/>
    <w:pPr>
      <w:ind w:left="720"/>
      <w:contextualSpacing/>
    </w:pPr>
  </w:style>
  <w:style w:type="character" w:styleId="Wyrnienieintensywne">
    <w:name w:val="Intense Emphasis"/>
    <w:basedOn w:val="Domylnaczcionkaakapitu"/>
    <w:uiPriority w:val="21"/>
    <w:qFormat/>
    <w:rsid w:val="00B82DE3"/>
    <w:rPr>
      <w:i/>
      <w:iCs/>
      <w:color w:val="0F4761" w:themeColor="accent1" w:themeShade="BF"/>
    </w:rPr>
  </w:style>
  <w:style w:type="paragraph" w:styleId="Cytatintensywny">
    <w:name w:val="Intense Quote"/>
    <w:basedOn w:val="Normalny"/>
    <w:next w:val="Normalny"/>
    <w:link w:val="CytatintensywnyZnak"/>
    <w:uiPriority w:val="30"/>
    <w:qFormat/>
    <w:rsid w:val="00B82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82DE3"/>
    <w:rPr>
      <w:i/>
      <w:iCs/>
      <w:color w:val="0F4761" w:themeColor="accent1" w:themeShade="BF"/>
    </w:rPr>
  </w:style>
  <w:style w:type="character" w:styleId="Odwoanieintensywne">
    <w:name w:val="Intense Reference"/>
    <w:basedOn w:val="Domylnaczcionkaakapitu"/>
    <w:uiPriority w:val="32"/>
    <w:qFormat/>
    <w:rsid w:val="00B82DE3"/>
    <w:rPr>
      <w:b/>
      <w:bCs/>
      <w:smallCaps/>
      <w:color w:val="0F4761" w:themeColor="accent1" w:themeShade="BF"/>
      <w:spacing w:val="5"/>
    </w:rPr>
  </w:style>
  <w:style w:type="paragraph" w:styleId="Nagwek">
    <w:name w:val="header"/>
    <w:basedOn w:val="Normalny"/>
    <w:link w:val="NagwekZnak"/>
    <w:uiPriority w:val="99"/>
    <w:unhideWhenUsed/>
    <w:rsid w:val="0034401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44018"/>
  </w:style>
  <w:style w:type="paragraph" w:styleId="Stopka">
    <w:name w:val="footer"/>
    <w:basedOn w:val="Normalny"/>
    <w:link w:val="StopkaZnak"/>
    <w:uiPriority w:val="99"/>
    <w:unhideWhenUsed/>
    <w:rsid w:val="0034401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44018"/>
  </w:style>
  <w:style w:type="paragraph" w:styleId="Nagwekspisutreci">
    <w:name w:val="TOC Heading"/>
    <w:basedOn w:val="Nagwek1"/>
    <w:next w:val="Normalny"/>
    <w:uiPriority w:val="39"/>
    <w:unhideWhenUsed/>
    <w:qFormat/>
    <w:rsid w:val="00344018"/>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F07F4F"/>
    <w:pPr>
      <w:tabs>
        <w:tab w:val="left" w:pos="567"/>
        <w:tab w:val="right" w:leader="dot" w:pos="9062"/>
      </w:tabs>
      <w:spacing w:after="100"/>
    </w:pPr>
  </w:style>
  <w:style w:type="paragraph" w:styleId="Spistreci2">
    <w:name w:val="toc 2"/>
    <w:basedOn w:val="Normalny"/>
    <w:next w:val="Normalny"/>
    <w:autoRedefine/>
    <w:uiPriority w:val="39"/>
    <w:unhideWhenUsed/>
    <w:rsid w:val="00344018"/>
    <w:pPr>
      <w:spacing w:after="100"/>
      <w:ind w:left="240"/>
    </w:pPr>
  </w:style>
  <w:style w:type="character" w:styleId="Hipercze">
    <w:name w:val="Hyperlink"/>
    <w:basedOn w:val="Domylnaczcionkaakapitu"/>
    <w:uiPriority w:val="99"/>
    <w:unhideWhenUsed/>
    <w:rsid w:val="00344018"/>
    <w:rPr>
      <w:color w:val="467886" w:themeColor="hyperlink"/>
      <w:u w:val="single"/>
    </w:rPr>
  </w:style>
  <w:style w:type="character" w:customStyle="1" w:styleId="Nierozpoznanawzmianka1">
    <w:name w:val="Nierozpoznana wzmianka1"/>
    <w:basedOn w:val="Domylnaczcionkaakapitu"/>
    <w:uiPriority w:val="99"/>
    <w:semiHidden/>
    <w:unhideWhenUsed/>
    <w:rsid w:val="00A60D60"/>
    <w:rPr>
      <w:color w:val="605E5C"/>
      <w:shd w:val="clear" w:color="auto" w:fill="E1DFDD"/>
    </w:rPr>
  </w:style>
  <w:style w:type="paragraph" w:styleId="Spistreci3">
    <w:name w:val="toc 3"/>
    <w:basedOn w:val="Normalny"/>
    <w:next w:val="Normalny"/>
    <w:autoRedefine/>
    <w:uiPriority w:val="39"/>
    <w:unhideWhenUsed/>
    <w:rsid w:val="00A3586B"/>
    <w:pPr>
      <w:spacing w:after="100"/>
      <w:ind w:left="480"/>
    </w:pPr>
  </w:style>
  <w:style w:type="numbering" w:customStyle="1" w:styleId="Moduy">
    <w:name w:val="Moduły"/>
    <w:uiPriority w:val="99"/>
    <w:rsid w:val="003E20E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50D97-077F-4F3E-887A-13B6F4C4B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11961</Words>
  <Characters>71769</Characters>
  <Application>Microsoft Office Word</Application>
  <DocSecurity>0</DocSecurity>
  <Lines>598</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7SZMW</cp:lastModifiedBy>
  <cp:revision>35</cp:revision>
  <dcterms:created xsi:type="dcterms:W3CDTF">2024-08-06T05:49:00Z</dcterms:created>
  <dcterms:modified xsi:type="dcterms:W3CDTF">2025-10-15T11:30:00Z</dcterms:modified>
</cp:coreProperties>
</file>